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人身保险业综合治理销售误导</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满意度调查问卷</w:t>
      </w:r>
    </w:p>
    <w:p>
      <w:pPr>
        <w:numPr>
          <w:ilvl w:val="0"/>
          <w:numId w:val="1"/>
        </w:numPr>
        <w:spacing w:line="24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您的年龄阶段：</w:t>
      </w:r>
    </w:p>
    <w:p>
      <w:pPr>
        <w:numPr>
          <w:ilvl w:val="0"/>
          <w:numId w:val="0"/>
        </w:numPr>
        <w:spacing w:line="24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18-25岁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26-35岁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36-45岁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46岁及以上</w:t>
      </w:r>
    </w:p>
    <w:p>
      <w:pPr>
        <w:numPr>
          <w:ilvl w:val="0"/>
          <w:numId w:val="1"/>
        </w:numPr>
        <w:spacing w:line="240" w:lineRule="auto"/>
        <w:ind w:left="0" w:leftChars="0" w:firstLine="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您上次购买人寿保险产品时，是通过何种渠道：</w:t>
      </w:r>
    </w:p>
    <w:p>
      <w:pPr>
        <w:numPr>
          <w:ilvl w:val="0"/>
          <w:numId w:val="0"/>
        </w:numPr>
        <w:spacing w:line="240" w:lineRule="auto"/>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保险营销员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银行（邮政）网点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电话销售</w:t>
      </w:r>
    </w:p>
    <w:p>
      <w:pPr>
        <w:numPr>
          <w:ilvl w:val="0"/>
          <w:numId w:val="0"/>
        </w:numPr>
        <w:spacing w:line="240" w:lineRule="auto"/>
        <w:ind w:left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网络销售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其他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从未买过</w:t>
      </w:r>
    </w:p>
    <w:p>
      <w:pPr>
        <w:numPr>
          <w:ilvl w:val="0"/>
          <w:numId w:val="1"/>
        </w:numPr>
        <w:spacing w:line="240" w:lineRule="auto"/>
        <w:ind w:left="0" w:leftChars="0" w:firstLine="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您购买的人寿保险产品与销售人员的描述是否一致：</w:t>
      </w:r>
    </w:p>
    <w:p>
      <w:pPr>
        <w:numPr>
          <w:ilvl w:val="0"/>
          <w:numId w:val="0"/>
        </w:numPr>
        <w:spacing w:line="240" w:lineRule="auto"/>
        <w:ind w:left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非常一致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基本一致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有差异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没买过</w:t>
      </w:r>
    </w:p>
    <w:p>
      <w:pPr>
        <w:numPr>
          <w:ilvl w:val="0"/>
          <w:numId w:val="1"/>
        </w:numPr>
        <w:spacing w:line="240" w:lineRule="auto"/>
        <w:ind w:left="0" w:leftChars="0" w:firstLine="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您购买的人寿保险产品，是否符合您自身的需求，是否匹配您自身的经济状况和支付能力：</w:t>
      </w:r>
    </w:p>
    <w:p>
      <w:pPr>
        <w:numPr>
          <w:ilvl w:val="0"/>
          <w:numId w:val="0"/>
        </w:numPr>
        <w:spacing w:line="240" w:lineRule="auto"/>
        <w:ind w:left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非常符合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基本符合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不符合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未判断过</w:t>
      </w:r>
    </w:p>
    <w:p>
      <w:pPr>
        <w:numPr>
          <w:ilvl w:val="0"/>
          <w:numId w:val="1"/>
        </w:numPr>
        <w:spacing w:line="240" w:lineRule="auto"/>
        <w:ind w:left="0" w:leftChars="0" w:firstLine="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您在购买产品时保险公司是否做过详尽的风险提示（包括不限于投保提示、风险测评等）：</w:t>
      </w:r>
    </w:p>
    <w:p>
      <w:pPr>
        <w:numPr>
          <w:ilvl w:val="0"/>
          <w:numId w:val="0"/>
        </w:numPr>
        <w:spacing w:line="240" w:lineRule="auto"/>
        <w:ind w:left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非常详尽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一般详尽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简单提示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未提示</w:t>
      </w:r>
    </w:p>
    <w:p>
      <w:pPr>
        <w:numPr>
          <w:ilvl w:val="0"/>
          <w:numId w:val="1"/>
        </w:numPr>
        <w:spacing w:line="240" w:lineRule="auto"/>
        <w:ind w:left="0" w:leftChars="0" w:firstLine="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购买产品后，保险公司的回访是否是您更清晰地了解您购买的人寿保险产品，包括保险责任、责任免除、保单利益不确定性、退保可能带来的损失和犹豫期退保的权利等：</w:t>
      </w:r>
    </w:p>
    <w:p>
      <w:pPr>
        <w:numPr>
          <w:ilvl w:val="0"/>
          <w:numId w:val="0"/>
        </w:numPr>
        <w:spacing w:line="240" w:lineRule="auto"/>
        <w:ind w:left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非常有帮助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有些帮助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未接受过回访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未购买过</w:t>
      </w:r>
    </w:p>
    <w:p>
      <w:pPr>
        <w:numPr>
          <w:ilvl w:val="0"/>
          <w:numId w:val="1"/>
        </w:numPr>
        <w:spacing w:line="240" w:lineRule="auto"/>
        <w:ind w:left="0" w:leftChars="0" w:firstLine="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w w:val="96"/>
          <w:sz w:val="28"/>
          <w:szCs w:val="28"/>
          <w:lang w:val="en-US" w:eastAsia="zh-CN"/>
        </w:rPr>
        <w:t>您对保险公司在处理投诉时的服务态度、时效和处理结果是否满意：</w:t>
      </w:r>
    </w:p>
    <w:p>
      <w:pPr>
        <w:numPr>
          <w:ilvl w:val="0"/>
          <w:numId w:val="0"/>
        </w:numPr>
        <w:spacing w:line="240" w:lineRule="auto"/>
        <w:ind w:left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非常满意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基本满意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不满意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没买过/没投诉过</w:t>
      </w:r>
    </w:p>
    <w:p>
      <w:pPr>
        <w:numPr>
          <w:ilvl w:val="0"/>
          <w:numId w:val="1"/>
        </w:numPr>
        <w:spacing w:line="240" w:lineRule="auto"/>
        <w:ind w:left="0" w:leftChars="0" w:firstLine="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您认为经过近几年的销售误导治理工作，当前人身保险业销售误导问题是否得到了改善：</w:t>
      </w:r>
    </w:p>
    <w:p>
      <w:pPr>
        <w:numPr>
          <w:ilvl w:val="0"/>
          <w:numId w:val="0"/>
        </w:numPr>
        <w:spacing w:line="240" w:lineRule="auto"/>
        <w:ind w:left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明显改善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较以前有改善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无改善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不了解</w:t>
      </w:r>
    </w:p>
    <w:p>
      <w:pPr>
        <w:numPr>
          <w:ilvl w:val="0"/>
          <w:numId w:val="1"/>
        </w:numPr>
        <w:spacing w:line="240" w:lineRule="auto"/>
        <w:ind w:left="0" w:leftChars="0" w:firstLine="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您在选择人身保险产品时最注重的是：</w:t>
      </w:r>
    </w:p>
    <w:p>
      <w:pPr>
        <w:numPr>
          <w:ilvl w:val="0"/>
          <w:numId w:val="0"/>
        </w:numPr>
        <w:spacing w:line="240" w:lineRule="auto"/>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保险代理人的职业道德和业务素质  </w:t>
      </w:r>
    </w:p>
    <w:p>
      <w:pPr>
        <w:numPr>
          <w:ilvl w:val="0"/>
          <w:numId w:val="0"/>
        </w:numPr>
        <w:spacing w:line="240" w:lineRule="auto"/>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自身的保险需求</w:t>
      </w:r>
    </w:p>
    <w:p>
      <w:pPr>
        <w:numPr>
          <w:ilvl w:val="0"/>
          <w:numId w:val="0"/>
        </w:numPr>
        <w:spacing w:line="240" w:lineRule="auto"/>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保险公司的偿付能力水平  </w:t>
      </w:r>
    </w:p>
    <w:p>
      <w:pPr>
        <w:numPr>
          <w:ilvl w:val="0"/>
          <w:numId w:val="0"/>
        </w:numPr>
        <w:spacing w:line="240" w:lineRule="auto"/>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保险公司的诚信规范水平</w:t>
      </w:r>
    </w:p>
    <w:p>
      <w:pPr>
        <w:numPr>
          <w:ilvl w:val="0"/>
          <w:numId w:val="0"/>
        </w:numPr>
        <w:spacing w:line="240" w:lineRule="auto"/>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保险公司的服务水平  </w:t>
      </w:r>
    </w:p>
    <w:p>
      <w:pPr>
        <w:numPr>
          <w:ilvl w:val="0"/>
          <w:numId w:val="0"/>
        </w:numPr>
        <w:spacing w:line="240" w:lineRule="auto"/>
        <w:ind w:left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保险产品的价格</w:t>
      </w:r>
    </w:p>
    <w:p>
      <w:pPr>
        <w:numPr>
          <w:ilvl w:val="0"/>
          <w:numId w:val="1"/>
        </w:numPr>
        <w:spacing w:line="240" w:lineRule="auto"/>
        <w:ind w:left="0" w:leftChars="0" w:firstLine="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您认为人身保险业综合治理销售误导工作还需要在哪些方面进一步加强和改善[多选]：</w:t>
      </w:r>
    </w:p>
    <w:p>
      <w:pPr>
        <w:numPr>
          <w:ilvl w:val="0"/>
          <w:numId w:val="0"/>
        </w:numPr>
        <w:spacing w:line="240" w:lineRule="auto"/>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提高保险销售人员的专业化程度和诚信度</w:t>
      </w:r>
    </w:p>
    <w:p>
      <w:pPr>
        <w:numPr>
          <w:ilvl w:val="0"/>
          <w:numId w:val="0"/>
        </w:numPr>
        <w:spacing w:line="240" w:lineRule="auto"/>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加强保险消费者教育，提高全社会的保险意识</w:t>
      </w:r>
    </w:p>
    <w:p>
      <w:pPr>
        <w:numPr>
          <w:ilvl w:val="0"/>
          <w:numId w:val="0"/>
        </w:numPr>
        <w:spacing w:line="240" w:lineRule="auto"/>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进一步改进人寿产品，满足保险消费者的真实需求</w:t>
      </w:r>
    </w:p>
    <w:p>
      <w:pPr>
        <w:numPr>
          <w:ilvl w:val="0"/>
          <w:numId w:val="0"/>
        </w:numPr>
        <w:spacing w:line="240" w:lineRule="auto"/>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在消费者购买人寿保险前，切实做好风险提示工作</w:t>
      </w:r>
      <w:bookmarkStart w:id="0" w:name="_GoBack"/>
      <w:bookmarkEnd w:id="0"/>
    </w:p>
    <w:p>
      <w:pPr>
        <w:numPr>
          <w:ilvl w:val="0"/>
          <w:numId w:val="0"/>
        </w:numPr>
        <w:spacing w:line="240" w:lineRule="auto"/>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在消费者购买人寿保险后，切实做好客户回访工作</w:t>
      </w:r>
    </w:p>
    <w:p>
      <w:pPr>
        <w:numPr>
          <w:ilvl w:val="0"/>
          <w:numId w:val="0"/>
        </w:numPr>
        <w:spacing w:line="240" w:lineRule="auto"/>
        <w:ind w:leftChars="0"/>
        <w:rPr>
          <w:rFonts w:hint="eastAsia" w:ascii="仿宋_GB2312" w:hAnsi="仿宋_GB2312" w:eastAsia="仿宋_GB2312" w:cs="仿宋_GB2312"/>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进一度加大对销售误导行为的监管惩处力度</w:t>
      </w:r>
    </w:p>
    <w:p>
      <w:pPr>
        <w:pStyle w:val="2"/>
        <w:bidi w:val="0"/>
        <w:spacing w:line="240" w:lineRule="auto"/>
        <w:jc w:val="center"/>
        <w:rPr>
          <w:rFonts w:hint="eastAsia"/>
          <w:b/>
          <w:w w:val="100"/>
          <w:sz w:val="40"/>
          <w:szCs w:val="22"/>
          <w:lang w:val="en-US" w:eastAsia="zh-CN"/>
        </w:rPr>
      </w:pPr>
      <w:r>
        <w:rPr>
          <w:rFonts w:hint="eastAsia" w:eastAsiaTheme="minorEastAsia"/>
          <w:b/>
          <w:w w:val="100"/>
          <w:sz w:val="40"/>
          <w:szCs w:val="22"/>
          <w:lang w:val="en-US" w:eastAsia="zh-CN"/>
        </w:rPr>
        <w:t>人身保险业综合治理销售误导满意度调查问卷</w:t>
      </w:r>
      <w:r>
        <w:rPr>
          <w:rFonts w:hint="eastAsia"/>
          <w:b/>
          <w:w w:val="100"/>
          <w:sz w:val="40"/>
          <w:szCs w:val="22"/>
          <w:lang w:val="en-US" w:eastAsia="zh-CN"/>
        </w:rPr>
        <w:t>统计表</w:t>
      </w:r>
    </w:p>
    <w:p>
      <w:pPr>
        <w:rPr>
          <w:rFonts w:hint="eastAsia"/>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保险公司：</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发放问卷数量：</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回收问卷数量：</w:t>
      </w:r>
      <w:r>
        <w:rPr>
          <w:rFonts w:hint="eastAsia" w:ascii="仿宋_GB2312" w:hAnsi="仿宋_GB2312" w:eastAsia="仿宋_GB2312" w:cs="仿宋_GB2312"/>
          <w:sz w:val="28"/>
          <w:szCs w:val="28"/>
          <w:lang w:val="en-US" w:eastAsia="zh-CN"/>
        </w:rPr>
        <w:t xml:space="preserve">    回收率（</w:t>
      </w:r>
      <w:r>
        <w:rPr>
          <w:rFonts w:hint="eastAsia" w:ascii="仿宋_GB2312" w:hAnsi="仿宋_GB2312" w:eastAsia="仿宋_GB2312" w:cs="仿宋_GB2312"/>
          <w:sz w:val="28"/>
          <w:szCs w:val="28"/>
          <w:lang w:eastAsia="zh-CN"/>
        </w:rPr>
        <w:t>回收问卷数量</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发放问卷数量</w:t>
      </w:r>
      <w:r>
        <w:rPr>
          <w:rFonts w:hint="eastAsia" w:ascii="仿宋_GB2312" w:hAnsi="仿宋_GB2312" w:eastAsia="仿宋_GB2312" w:cs="仿宋_GB2312"/>
          <w:sz w:val="28"/>
          <w:szCs w:val="28"/>
          <w:lang w:val="en-US" w:eastAsia="zh-CN"/>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有效问卷数量：</w:t>
      </w:r>
      <w:r>
        <w:rPr>
          <w:rFonts w:hint="eastAsia" w:ascii="仿宋_GB2312" w:hAnsi="仿宋_GB2312" w:eastAsia="仿宋_GB2312" w:cs="仿宋_GB2312"/>
          <w:sz w:val="28"/>
          <w:szCs w:val="28"/>
          <w:lang w:val="en-US" w:eastAsia="zh-CN"/>
        </w:rPr>
        <w:t xml:space="preserve">    有效问卷回收率（</w:t>
      </w:r>
      <w:r>
        <w:rPr>
          <w:rFonts w:hint="eastAsia" w:ascii="仿宋_GB2312" w:hAnsi="仿宋_GB2312" w:eastAsia="仿宋_GB2312" w:cs="仿宋_GB2312"/>
          <w:sz w:val="28"/>
          <w:szCs w:val="28"/>
          <w:lang w:eastAsia="zh-CN"/>
        </w:rPr>
        <w:t>有效问卷数量</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发放问卷数量</w:t>
      </w:r>
      <w:r>
        <w:rPr>
          <w:rFonts w:hint="eastAsia" w:ascii="仿宋_GB2312" w:hAnsi="仿宋_GB2312" w:eastAsia="仿宋_GB2312" w:cs="仿宋_GB2312"/>
          <w:sz w:val="28"/>
          <w:szCs w:val="28"/>
          <w:lang w:val="en-US" w:eastAsia="zh-CN"/>
        </w:rPr>
        <w:t>）：</w:t>
      </w:r>
    </w:p>
    <w:p>
      <w:pPr>
        <w:rPr>
          <w:rFonts w:hint="eastAsia" w:ascii="仿宋_GB2312" w:hAnsi="仿宋_GB2312" w:eastAsia="仿宋_GB2312" w:cs="仿宋_GB2312"/>
          <w:sz w:val="28"/>
          <w:szCs w:val="28"/>
          <w:lang w:val="en-US" w:eastAsia="zh-CN"/>
        </w:rPr>
      </w:pP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各选项选择数统计：</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1201"/>
        <w:gridCol w:w="1201"/>
        <w:gridCol w:w="1201"/>
        <w:gridCol w:w="1201"/>
        <w:gridCol w:w="1201"/>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08" w:type="dxa"/>
            <mc:AlternateContent>
              <mc:Choice Requires="wpsCustomData">
                <wpsCustomData:diagonals>
                  <wpsCustomData:diagonal from="10000" to="30000">
                    <wpsCustomData:border w:val="single" w:color="auto" w:sz="4" w:space="0"/>
                  </wpsCustomData:diagonal>
                </wpsCustomData:diagonals>
              </mc:Choice>
            </mc:AlternateContent>
          </w:tcPr>
          <w:p>
            <w:pPr>
              <w:snapToGrid w:val="0"/>
              <w:rPr>
                <w:rFonts w:hint="eastAsia" w:ascii="仿宋_GB2312" w:hAnsi="仿宋_GB2312" w:eastAsia="仿宋_GB2312" w:cs="仿宋_GB2312"/>
                <w:sz w:val="22"/>
                <w:szCs w:val="22"/>
                <w:vertAlign w:val="baseline"/>
                <w:lang w:val="en-US" w:eastAsia="zh-CN"/>
              </w:rPr>
            </w:pPr>
          </w:p>
          <w:p>
            <w:pPr>
              <w:snapToGrid w:val="0"/>
              <mc:AlternateContent>
                <mc:Choice Requires="wpsCustomData">
                  <wpsCustomData:diagonalParaType/>
                </mc:Choice>
              </mc:AlternateContent>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问题</w:t>
            </w:r>
          </w:p>
          <w:p>
            <w:pP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选项</w:t>
            </w:r>
          </w:p>
        </w:tc>
        <w:tc>
          <w:tcPr>
            <w:tcW w:w="1201"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选项1</w:t>
            </w:r>
          </w:p>
        </w:tc>
        <w:tc>
          <w:tcPr>
            <w:tcW w:w="1201"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选项2</w:t>
            </w:r>
          </w:p>
        </w:tc>
        <w:tc>
          <w:tcPr>
            <w:tcW w:w="1201"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选项3</w:t>
            </w:r>
          </w:p>
        </w:tc>
        <w:tc>
          <w:tcPr>
            <w:tcW w:w="1201"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选项4</w:t>
            </w:r>
          </w:p>
        </w:tc>
        <w:tc>
          <w:tcPr>
            <w:tcW w:w="1201"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选项5</w:t>
            </w:r>
          </w:p>
        </w:tc>
        <w:tc>
          <w:tcPr>
            <w:tcW w:w="1206"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选项6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08"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问题1</w:t>
            </w: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1206"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08"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问题2</w:t>
            </w: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6" w:type="dxa"/>
          </w:tcPr>
          <w:p>
            <w:pPr>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08"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问题3</w:t>
            </w: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1206" w:type="dxa"/>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08"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问题4</w:t>
            </w: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1206" w:type="dxa"/>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08"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问题5</w:t>
            </w: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1206" w:type="dxa"/>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08"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问题6</w:t>
            </w: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1206" w:type="dxa"/>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08"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问题7</w:t>
            </w: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1206" w:type="dxa"/>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08"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问题8</w:t>
            </w: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1206" w:type="dxa"/>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08"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问题9</w:t>
            </w: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6" w:type="dxa"/>
          </w:tcPr>
          <w:p>
            <w:pPr>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08"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问题10</w:t>
            </w: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6" w:type="dxa"/>
          </w:tcPr>
          <w:p>
            <w:pPr>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308"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合计</w:t>
            </w: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1" w:type="dxa"/>
          </w:tcPr>
          <w:p>
            <w:pPr>
              <w:rPr>
                <w:rFonts w:hint="default" w:ascii="仿宋_GB2312" w:hAnsi="仿宋_GB2312" w:eastAsia="仿宋_GB2312" w:cs="仿宋_GB2312"/>
                <w:sz w:val="28"/>
                <w:szCs w:val="28"/>
                <w:vertAlign w:val="baseline"/>
                <w:lang w:val="en-US" w:eastAsia="zh-CN"/>
              </w:rPr>
            </w:pPr>
          </w:p>
        </w:tc>
        <w:tc>
          <w:tcPr>
            <w:tcW w:w="1206" w:type="dxa"/>
          </w:tcPr>
          <w:p>
            <w:pPr>
              <w:rPr>
                <w:rFonts w:hint="default" w:ascii="仿宋_GB2312" w:hAnsi="仿宋_GB2312" w:eastAsia="仿宋_GB2312" w:cs="仿宋_GB2312"/>
                <w:sz w:val="28"/>
                <w:szCs w:val="28"/>
                <w:vertAlign w:val="baseline"/>
                <w:lang w:val="en-US" w:eastAsia="zh-CN"/>
              </w:rPr>
            </w:pPr>
          </w:p>
        </w:tc>
      </w:tr>
    </w:tbl>
    <w:p>
      <w:pPr>
        <w:tabs>
          <w:tab w:val="left" w:pos="696"/>
        </w:tabs>
        <w:bidi w:val="0"/>
        <w:jc w:val="left"/>
        <w:rPr>
          <w:rFonts w:hint="default"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2C6573"/>
    <w:multiLevelType w:val="singleLevel"/>
    <w:tmpl w:val="192C657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45D09"/>
    <w:rsid w:val="037054DC"/>
    <w:rsid w:val="0A46612A"/>
    <w:rsid w:val="0AA84CF1"/>
    <w:rsid w:val="11E71FCD"/>
    <w:rsid w:val="12FE237A"/>
    <w:rsid w:val="17C0591E"/>
    <w:rsid w:val="1A9A595C"/>
    <w:rsid w:val="1CF636A1"/>
    <w:rsid w:val="223E1827"/>
    <w:rsid w:val="241A7994"/>
    <w:rsid w:val="2F556AB2"/>
    <w:rsid w:val="436D488C"/>
    <w:rsid w:val="48D9691A"/>
    <w:rsid w:val="49811DB4"/>
    <w:rsid w:val="4B5D11D2"/>
    <w:rsid w:val="4C610F45"/>
    <w:rsid w:val="4F995E80"/>
    <w:rsid w:val="51E7578C"/>
    <w:rsid w:val="53C17CAD"/>
    <w:rsid w:val="55BF605D"/>
    <w:rsid w:val="598B3713"/>
    <w:rsid w:val="5F782918"/>
    <w:rsid w:val="624A0B67"/>
    <w:rsid w:val="633B6616"/>
    <w:rsid w:val="7590359D"/>
    <w:rsid w:val="7821660E"/>
    <w:rsid w:val="7DF22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keepLines/>
      <w:widowControl w:val="0"/>
      <w:spacing w:before="340" w:beforeLines="0" w:beforeAutospacing="0" w:after="330" w:afterLines="0" w:afterAutospacing="0" w:line="576" w:lineRule="auto"/>
      <w:jc w:val="both"/>
      <w:outlineLvl w:val="0"/>
    </w:pPr>
    <w:rPr>
      <w:rFonts w:asciiTheme="minorHAnsi" w:hAnsiTheme="minorHAnsi" w:eastAsiaTheme="minorEastAsia" w:cstheme="minorBidi"/>
      <w:b/>
      <w:kern w:val="44"/>
      <w:sz w:val="44"/>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和政政在一起的每一天</cp:lastModifiedBy>
  <dcterms:modified xsi:type="dcterms:W3CDTF">2021-10-26T02:34:45Z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8776DBFB1FA3434988262B959D87780F</vt:lpwstr>
  </property>
</Properties>
</file>