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left="0" w:firstLine="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left="0" w:firstLine="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lef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江西省保险行业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协会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年度财务决算报告及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年度预算情况报告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ascii="宋体" w:eastAsia="宋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原江西银保监局</w:t>
      </w:r>
      <w:r>
        <w:rPr>
          <w:rFonts w:hint="eastAsia" w:ascii="仿宋_GB2312" w:hAnsi="仿宋_GB2312" w:eastAsia="仿宋_GB2312" w:cs="仿宋_GB2312"/>
          <w:sz w:val="32"/>
          <w:szCs w:val="32"/>
        </w:rPr>
        <w:t>和省民政厅、省社联的指导下，在理事会的领导下，在广大会员单位支持配合下，江西省保险行业协会围绕“自律、维权、服务、交流、宣传”职能，从自身建设入手，严格执行财政部《民间非营利组织会计制度》等有关法律法规，完善内控管理，合理安排支出，财务平稳运行，有效保障了各项工作的开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协会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2022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年度财务执行情况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协会</w:t>
      </w:r>
      <w:r>
        <w:rPr>
          <w:rFonts w:hint="eastAsia" w:ascii="仿宋_GB2312" w:hAnsi="仿宋_GB2312" w:eastAsia="仿宋_GB2312" w:cs="仿宋_GB2312"/>
          <w:sz w:val="32"/>
          <w:szCs w:val="32"/>
        </w:rPr>
        <w:t>总体执行情况良好，具体执行情况见附件一，主要情况如下：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643" w:firstLine="0" w:firstLineChars="0"/>
        <w:textAlignment w:val="auto"/>
        <w:rPr>
          <w:rFonts w:hint="eastAsia" w:ascii="楷体_GB2312" w:hAnsi="楷体_GB2312" w:eastAsia="楷体_GB2312" w:cs="楷体_GB2312"/>
          <w:b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</w:rPr>
        <w:t>（一）收入情况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协会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年度收入总额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185.38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万元，其中其他收入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144.89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万元，占总收入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78.16</w:t>
      </w:r>
      <w:r>
        <w:rPr>
          <w:rFonts w:hint="eastAsia" w:ascii="仿宋_GB2312" w:hAnsi="仿宋_GB2312" w:eastAsia="仿宋_GB2312" w:cs="仿宋_GB2312"/>
          <w:sz w:val="32"/>
          <w:szCs w:val="32"/>
        </w:rPr>
        <w:t>%；银保信技术服务收入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29.7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万元，占总收入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16.02</w:t>
      </w:r>
      <w:r>
        <w:rPr>
          <w:rFonts w:hint="eastAsia" w:ascii="仿宋_GB2312" w:hAnsi="仿宋_GB2312" w:eastAsia="仿宋_GB2312" w:cs="仿宋_GB2312"/>
          <w:sz w:val="32"/>
          <w:szCs w:val="32"/>
        </w:rPr>
        <w:t>%；会费收入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万元,占总收入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5.61</w:t>
      </w:r>
      <w:r>
        <w:rPr>
          <w:rFonts w:hint="eastAsia" w:ascii="仿宋_GB2312" w:hAnsi="仿宋_GB2312" w:eastAsia="仿宋_GB2312" w:cs="仿宋_GB2312"/>
          <w:sz w:val="32"/>
          <w:szCs w:val="32"/>
        </w:rPr>
        <w:t>%；利息收入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0.39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万元，占总收入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0.21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.其他收入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协会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144.89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主要为银保监派驻人员清退款项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143.43万元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、中国银行保险报发行费用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1.45万元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2.银保信技术服务收入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协会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年度银保信技术服务收入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29.7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万元，为中国银行保险信息技术管理有限公司委托服务费。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.会费收入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会费收入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10.4万元，是2022年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收取的部分公司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2021年未交会费，其中</w:t>
      </w:r>
      <w:r>
        <w:rPr>
          <w:rFonts w:hint="eastAsia" w:ascii="仿宋_GB2312" w:hAnsi="仿宋_GB2312" w:eastAsia="仿宋_GB2312" w:cs="仿宋_GB2312"/>
          <w:sz w:val="32"/>
          <w:szCs w:val="32"/>
        </w:rPr>
        <w:t>泰康人寿2021年协会会费7.8万，永安财险2021年协会会费2.6万。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643" w:firstLine="0" w:firstLineChars="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</w:rPr>
        <w:t>(二)支出情况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协会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年度支出总额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274.89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万元，其中管理费用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265.91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96.73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%；业务活动成本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8.98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3.27</w:t>
      </w:r>
      <w:r>
        <w:rPr>
          <w:rFonts w:hint="eastAsia" w:ascii="仿宋_GB2312" w:hAnsi="仿宋_GB2312" w:eastAsia="仿宋_GB2312" w:cs="仿宋_GB2312"/>
          <w:sz w:val="32"/>
          <w:szCs w:val="32"/>
        </w:rPr>
        <w:t>%。当年收支差额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-89.51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将用历年结余弥补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</w:rPr>
        <w:t>年年末存款余额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138.58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1.管理费用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协会</w:t>
      </w:r>
      <w:r>
        <w:rPr>
          <w:rFonts w:hint="eastAsia" w:ascii="仿宋_GB2312" w:hAnsi="仿宋_GB2312" w:eastAsia="仿宋_GB2312" w:cs="仿宋_GB2312"/>
          <w:sz w:val="32"/>
          <w:szCs w:val="32"/>
        </w:rPr>
        <w:t>管理费用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265.91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万元，具体项目执行如下：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（1）人员费用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178.82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较上年增加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20.57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%，主要是人员变化造成工资性支出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增加，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2021年8月入职2名新员工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（2）其他日常管理费用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21.94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万元。主要为行政办公费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6.79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万元、工会经费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3.85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修理费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2.15万元、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社会组织发展促进会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会</w:t>
      </w:r>
      <w:r>
        <w:rPr>
          <w:rFonts w:hint="eastAsia" w:ascii="仿宋_GB2312" w:hAnsi="仿宋_GB2312" w:eastAsia="仿宋_GB2312" w:cs="仿宋_GB2312"/>
          <w:sz w:val="32"/>
          <w:szCs w:val="32"/>
        </w:rPr>
        <w:t>费2万元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残保金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车辆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使用</w:t>
      </w:r>
      <w:r>
        <w:rPr>
          <w:rFonts w:hint="eastAsia" w:ascii="仿宋_GB2312" w:hAnsi="仿宋_GB2312" w:eastAsia="仿宋_GB2312" w:cs="仿宋_GB2312"/>
          <w:sz w:val="32"/>
          <w:szCs w:val="32"/>
        </w:rPr>
        <w:t>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1.11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（3）办公用房租赁费及物业费、水电费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27.68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。主要为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2021年第二季度房租费11.96万元、2022年全年物业费10.85万元、2022年水电费4.87万元。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（4）食堂费用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37.47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2.业务活动成本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协会</w:t>
      </w:r>
      <w:r>
        <w:rPr>
          <w:rFonts w:hint="eastAsia" w:ascii="仿宋_GB2312" w:hAnsi="仿宋_GB2312" w:eastAsia="仿宋_GB2312" w:cs="仿宋_GB2312"/>
          <w:sz w:val="32"/>
          <w:szCs w:val="32"/>
        </w:rPr>
        <w:t>业务活动成本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8.98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万元，主要包括：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舆情系统开发费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2021年新增项目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958" w:leftChars="290" w:hanging="320" w:hangingChars="1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保险纠纷调解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2.10万元，为协会调解中心调解费。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宣传费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1.46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万元，主要为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产寿险双十大赔案、“发展普惠保险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助力乡村振兴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”费用。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）网站建设及维护费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0.42万元。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643" w:firstLine="0" w:firstLineChars="0"/>
        <w:textAlignment w:val="auto"/>
        <w:rPr>
          <w:rFonts w:hint="eastAsia" w:ascii="楷体_GB2312" w:hAnsi="楷体_GB2312" w:eastAsia="楷体_GB2312" w:cs="楷体_GB2312"/>
          <w:b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</w:rPr>
        <w:t>（三）收支结存及期末存款余额情况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</w:rPr>
        <w:t>年初存款余额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228.09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万元，当年收支结存-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89.51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</w:rPr>
        <w:t>年12月底存款余额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138.58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2023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年协会财务预算情况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协会本着“以事定支、以支定收”和勤俭节约的原则，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年预计收入总额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413.76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万元，当年收支差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-114.76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万元，将用历年结余弥补。预计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年年末存款余额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23.82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643" w:leftChars="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  <w:lang w:eastAsia="zh-CN"/>
        </w:rPr>
        <w:t>（一）</w:t>
      </w:r>
      <w:r>
        <w:rPr>
          <w:rFonts w:hint="eastAsia" w:ascii="楷体_GB2312" w:hAnsi="楷体_GB2312" w:eastAsia="楷体_GB2312" w:cs="楷体_GB2312"/>
          <w:b/>
          <w:sz w:val="32"/>
          <w:szCs w:val="32"/>
        </w:rPr>
        <w:t>预计收入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协会2023年预计收入总额299万元。其中会费收入268.5万元。2023年协会计划按收费标准的七五折即268.5万元收取。鉴于保险中介法人机构规模较小，2023年暂免收会费。另外，银保信技术服务</w:t>
      </w:r>
      <w:r>
        <w:rPr>
          <w:rFonts w:hint="eastAsia" w:ascii="仿宋_GB2312" w:hAnsi="仿宋_GB2312" w:eastAsia="仿宋_GB2312" w:cs="仿宋_GB2312"/>
          <w:sz w:val="32"/>
          <w:szCs w:val="32"/>
        </w:rPr>
        <w:t>收入30万元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利息收入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640" w:firstLine="0" w:firstLineChars="0"/>
        <w:textAlignment w:val="auto"/>
        <w:rPr>
          <w:rFonts w:hint="eastAsia" w:ascii="楷体_GB2312" w:hAnsi="楷体_GB2312" w:eastAsia="楷体_GB2312" w:cs="楷体_GB2312"/>
          <w:b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</w:rPr>
        <w:t>（二）预计支出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协会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年预计支出总额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413.76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基本支出（</w:t>
      </w:r>
      <w:r>
        <w:rPr>
          <w:rFonts w:hint="eastAsia" w:ascii="仿宋_GB2312" w:hAnsi="仿宋_GB2312" w:eastAsia="仿宋_GB2312" w:cs="仿宋_GB2312"/>
          <w:sz w:val="32"/>
          <w:szCs w:val="32"/>
        </w:rPr>
        <w:t>管理费用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346.76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项目支出（</w:t>
      </w:r>
      <w:r>
        <w:rPr>
          <w:rFonts w:hint="eastAsia" w:ascii="仿宋_GB2312" w:hAnsi="仿宋_GB2312" w:eastAsia="仿宋_GB2312" w:cs="仿宋_GB2312"/>
          <w:sz w:val="32"/>
          <w:szCs w:val="32"/>
        </w:rPr>
        <w:t>业务活动成本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3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基本支出（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管理费用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346.76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万元，比上年增加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80.85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30.41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%。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其中人员经费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183.47万元，公用经费163.29万元。公用经费定员定额为：定员定额标准为9.6万元/人，专职副会长、专职秘书长、专职副秘书长3名不在协会取酬的领导及14名职工，共17人，公用经费预算为163.29万元。基本支出增加主要有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2年协会办公房租、2023年协会办公房租一半将在2023年支付，共约71.88万元；二是按照总工会文件，规范了缴纳的工会经费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项目支出（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业务活动成本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67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万元，比上年增加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58.02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646.1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%。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年业务活动将增加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一是增加了项目支出，包括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开展南昌惠民保市场推动普及情况调研、组织开展双十大典型赔案评比、组织新闻媒体走进保险业、加强寿险公司销售人员执业行为管理及行业自律工作等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二是支付舆情系统开发、剩余保险志费用；三是增加爱心公益及扶贫、保险纠纷调解预算</w:t>
      </w:r>
      <w:r>
        <w:rPr>
          <w:rFonts w:hint="eastAsia" w:ascii="仿宋_GB2312" w:hAnsi="仿宋_GB2312" w:eastAsia="仿宋_GB2312" w:cs="仿宋_GB2312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特此报告。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textAlignment w:val="auto"/>
        <w:rPr>
          <w:rFonts w:hint="default" w:ascii="宋体" w:eastAsia="宋体"/>
          <w:sz w:val="32"/>
          <w:szCs w:val="32"/>
          <w:lang w:val="en-US" w:eastAsia="zh-CN"/>
        </w:rPr>
      </w:pPr>
      <w:r>
        <w:rPr>
          <w:rFonts w:hint="eastAsia" w:ascii="宋体" w:eastAsia="宋体"/>
          <w:sz w:val="32"/>
          <w:szCs w:val="32"/>
          <w:lang w:val="en-US" w:eastAsia="zh-CN"/>
        </w:rPr>
        <w:t xml:space="preserve">                          江西省保险行业协会</w:t>
      </w:r>
    </w:p>
    <w:sectPr>
      <w:headerReference r:id="rId3" w:type="default"/>
      <w:footerReference r:id="rId4" w:type="default"/>
      <w:pgSz w:w="11906" w:h="16838"/>
      <w:pgMar w:top="2098" w:right="1474" w:bottom="1984" w:left="1474" w:header="708" w:footer="708" w:gutter="0"/>
      <w:pgNumType w:fmt="numberInDash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drawingGridHorizontalSpacing w:val="110"/>
  <w:drawingGridVerticalSpacing w:val="156"/>
  <w:displayHorizontalDrawingGridEvery w:val="0"/>
  <w:characterSpacingControl w:val="doNotCompress"/>
  <w:hdrShapeDefaults>
    <o:shapelayout v:ext="edit">
      <o:idmap v:ext="edit" data="3,4"/>
    </o:shapelayout>
  </w:hdrShapeDefaults>
  <w:compat>
    <w:spaceForUL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mYTgwY2M2YjY1NmIxNDgzY2VmNjJhYTJlMTg2ZTkifQ=="/>
  </w:docVars>
  <w:rsids>
    <w:rsidRoot w:val="00AB1117"/>
    <w:rsid w:val="00006D83"/>
    <w:rsid w:val="00076A3A"/>
    <w:rsid w:val="0011089A"/>
    <w:rsid w:val="001B7325"/>
    <w:rsid w:val="0022410F"/>
    <w:rsid w:val="002244C9"/>
    <w:rsid w:val="002462FA"/>
    <w:rsid w:val="00275EE7"/>
    <w:rsid w:val="002F7F39"/>
    <w:rsid w:val="003640B9"/>
    <w:rsid w:val="003663B1"/>
    <w:rsid w:val="00382C1F"/>
    <w:rsid w:val="005424FF"/>
    <w:rsid w:val="00593228"/>
    <w:rsid w:val="00593387"/>
    <w:rsid w:val="00640EC2"/>
    <w:rsid w:val="0067371B"/>
    <w:rsid w:val="00691C39"/>
    <w:rsid w:val="006D3D9F"/>
    <w:rsid w:val="00860EC6"/>
    <w:rsid w:val="009240CE"/>
    <w:rsid w:val="0093409E"/>
    <w:rsid w:val="00936AD2"/>
    <w:rsid w:val="00961E55"/>
    <w:rsid w:val="00A45EF2"/>
    <w:rsid w:val="00AB1117"/>
    <w:rsid w:val="00B46060"/>
    <w:rsid w:val="00BF5284"/>
    <w:rsid w:val="00C308A6"/>
    <w:rsid w:val="00C347CB"/>
    <w:rsid w:val="00C747FA"/>
    <w:rsid w:val="00CC0280"/>
    <w:rsid w:val="00CD3EAB"/>
    <w:rsid w:val="00D43F5E"/>
    <w:rsid w:val="00D96028"/>
    <w:rsid w:val="00E21750"/>
    <w:rsid w:val="00E5048B"/>
    <w:rsid w:val="00E70CE2"/>
    <w:rsid w:val="00EB0FF1"/>
    <w:rsid w:val="00EC1AA3"/>
    <w:rsid w:val="00F045D9"/>
    <w:rsid w:val="00F10D65"/>
    <w:rsid w:val="00F34178"/>
    <w:rsid w:val="00FA7F0D"/>
    <w:rsid w:val="00FB7D46"/>
    <w:rsid w:val="00FF4D4B"/>
    <w:rsid w:val="02EE41C4"/>
    <w:rsid w:val="041D47D5"/>
    <w:rsid w:val="06EE44F1"/>
    <w:rsid w:val="08D161AE"/>
    <w:rsid w:val="0AA63DB0"/>
    <w:rsid w:val="0E620BA6"/>
    <w:rsid w:val="0EEC5B0F"/>
    <w:rsid w:val="0F713D53"/>
    <w:rsid w:val="0FB90CD9"/>
    <w:rsid w:val="11912C8C"/>
    <w:rsid w:val="137C19C8"/>
    <w:rsid w:val="14384AA5"/>
    <w:rsid w:val="19A164D1"/>
    <w:rsid w:val="1A5075A3"/>
    <w:rsid w:val="1BBB6159"/>
    <w:rsid w:val="1E6045A9"/>
    <w:rsid w:val="1F1349C7"/>
    <w:rsid w:val="1F89744D"/>
    <w:rsid w:val="24D94234"/>
    <w:rsid w:val="27C672EC"/>
    <w:rsid w:val="2990339E"/>
    <w:rsid w:val="2B057BED"/>
    <w:rsid w:val="2C22657D"/>
    <w:rsid w:val="2E8C7551"/>
    <w:rsid w:val="31434FCB"/>
    <w:rsid w:val="32764F2C"/>
    <w:rsid w:val="327B564A"/>
    <w:rsid w:val="354D68EE"/>
    <w:rsid w:val="36515992"/>
    <w:rsid w:val="36FD4124"/>
    <w:rsid w:val="39D37108"/>
    <w:rsid w:val="3BAC7C11"/>
    <w:rsid w:val="41347055"/>
    <w:rsid w:val="41697306"/>
    <w:rsid w:val="43070F6B"/>
    <w:rsid w:val="44476F78"/>
    <w:rsid w:val="46A45E76"/>
    <w:rsid w:val="4947443F"/>
    <w:rsid w:val="4EED422B"/>
    <w:rsid w:val="53936E53"/>
    <w:rsid w:val="557222CF"/>
    <w:rsid w:val="55B94FAC"/>
    <w:rsid w:val="566B5D58"/>
    <w:rsid w:val="5A400950"/>
    <w:rsid w:val="5AEC79CC"/>
    <w:rsid w:val="5D562478"/>
    <w:rsid w:val="61A622C3"/>
    <w:rsid w:val="649F5712"/>
    <w:rsid w:val="653A02CA"/>
    <w:rsid w:val="65B22E0C"/>
    <w:rsid w:val="69FD1378"/>
    <w:rsid w:val="6D6734A7"/>
    <w:rsid w:val="6E5D6B7B"/>
    <w:rsid w:val="6E6C0F64"/>
    <w:rsid w:val="70EE7F7C"/>
    <w:rsid w:val="72E7470E"/>
    <w:rsid w:val="73B053F5"/>
    <w:rsid w:val="76171B4F"/>
    <w:rsid w:val="78556155"/>
    <w:rsid w:val="78E610AA"/>
    <w:rsid w:val="79185843"/>
    <w:rsid w:val="7BAB6FC2"/>
    <w:rsid w:val="7E1A042F"/>
    <w:rsid w:val="7E69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ind w:left="1361" w:hanging="720"/>
    </w:pPr>
    <w:rPr>
      <w:rFonts w:ascii="Tahoma" w:hAnsi="Tahoma" w:eastAsia="微软雅黑" w:cs="Arial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List Paragraph"/>
    <w:basedOn w:val="1"/>
    <w:qFormat/>
    <w:uiPriority w:val="0"/>
    <w:pPr>
      <w:ind w:left="641"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1534</Words>
  <Characters>1892</Characters>
  <Lines>15</Lines>
  <Paragraphs>4</Paragraphs>
  <TotalTime>52</TotalTime>
  <ScaleCrop>false</ScaleCrop>
  <LinksUpToDate>false</LinksUpToDate>
  <CharactersWithSpaces>1919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2020-10-22T03:27:00Z</dcterms:created>
  <dc:creator>user</dc:creator>
  <cp:lastModifiedBy>Administrator</cp:lastModifiedBy>
  <cp:lastPrinted>2023-07-31T02:56:00Z</cp:lastPrinted>
  <dcterms:modified xsi:type="dcterms:W3CDTF">2023-08-07T01:15:52Z</dcterms:modified>
  <cp:revision>398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248ACAFB39FB421D93F83D8D238BBEBB</vt:lpwstr>
  </property>
</Properties>
</file>