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江西保险业2024年“3·15”金融消费者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权益保护教育宣传活动方案</w:t>
      </w:r>
    </w:p>
    <w:p>
      <w:pPr>
        <w:tabs>
          <w:tab w:val="left" w:pos="1973"/>
        </w:tabs>
        <w:spacing w:line="600" w:lineRule="exact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tabs>
          <w:tab w:val="left" w:pos="1973"/>
        </w:tabs>
        <w:spacing w:line="600" w:lineRule="exact"/>
        <w:ind w:firstLine="620" w:firstLineChars="200"/>
        <w:rPr>
          <w:rFonts w:hint="eastAsi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学习贯彻习近平新时代中国特色社会主义思想，全面落实党的二十大精神和中央金融工作会议、中央经济工作会议部署要求，不断践行金融工作政治性、人民性，切实提升消费者金融素养及风险防范意识，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《国家金融监督管理总局办公厅关于开展2024年“3·15”金融消费者权益保护教育宣传活动的通知》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，结合我省实际情况开展一系列教育宣传活动，现将有关事项通知如下:</w:t>
      </w:r>
    </w:p>
    <w:p>
      <w:pPr>
        <w:tabs>
          <w:tab w:val="left" w:pos="1973"/>
        </w:tabs>
        <w:spacing w:line="600" w:lineRule="exact"/>
        <w:ind w:firstLine="640" w:firstLineChars="200"/>
        <w:rPr>
          <w:rFonts w:hint="eastAsia" w:ascii="黑体" w:hAnsi="黑体" w:eastAsia="黑体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一、活动主题和口号</w:t>
      </w:r>
    </w:p>
    <w:p>
      <w:pPr>
        <w:tabs>
          <w:tab w:val="left" w:pos="1973"/>
        </w:tabs>
        <w:spacing w:line="60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活动主题:坚持以人民为中心的价值取向，以提升消费者金融素养和金融安全意识、增强依法维权意识和能力为目的，宣导金融政策、提示金融风险，倡导理性投资理念，推进行业诚信文化建设，增强人民群众金融服务的便利性、可得性和获得感。</w:t>
      </w:r>
    </w:p>
    <w:p>
      <w:pPr>
        <w:tabs>
          <w:tab w:val="left" w:pos="1973"/>
        </w:tabs>
        <w:spacing w:line="600" w:lineRule="exact"/>
        <w:ind w:firstLine="62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主题口号: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金融消保在身边 保障权益防风险</w:t>
      </w:r>
    </w:p>
    <w:p>
      <w:pPr>
        <w:tabs>
          <w:tab w:val="left" w:pos="1973"/>
        </w:tabs>
        <w:spacing w:line="600" w:lineRule="exact"/>
        <w:ind w:firstLine="640" w:firstLineChars="200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二、活动时间</w:t>
      </w:r>
    </w:p>
    <w:p>
      <w:pPr>
        <w:tabs>
          <w:tab w:val="left" w:pos="1973"/>
        </w:tabs>
        <w:spacing w:line="60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日—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8日</w:t>
      </w:r>
    </w:p>
    <w:p>
      <w:pPr>
        <w:tabs>
          <w:tab w:val="left" w:pos="1973"/>
        </w:tabs>
        <w:spacing w:line="600" w:lineRule="exact"/>
        <w:ind w:firstLine="640" w:firstLineChars="200"/>
      </w:pPr>
      <w:r>
        <w:rPr>
          <w:rFonts w:hint="eastAsia" w:ascii="黑体" w:hAnsi="黑体" w:eastAsia="黑体" w:cstheme="minorEastAsia"/>
          <w:sz w:val="32"/>
          <w:szCs w:val="32"/>
        </w:rPr>
        <w:t>三、活动内容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（一）集中金融力量，组织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现场展台宣传教育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3" w:firstLineChars="200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1.活动时间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3月12日（周二）上午9：30-11：30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3" w:firstLineChars="200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2.活动内容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（1）消费者保护：围绕普及金融消费者八项基本权利、强化“三适当”原则、宣传金融纠纷多元化解机制、坚持诚实守信等4项内容。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default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（2）反欺诈宣传：宣传反保险欺诈相关内容，制作反欺诈宣传单张、易拉宝等素材。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3.活动地点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绿地双子塔下方广场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4.活动组织架构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主办单位：国家金融监督管理总局江西监管局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承办单位：江西省保险行业协会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协办单位：江西省银行业协会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参与单位：辖内各银行、保险等相关金融机构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6.活动对象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现场宣传活动面向广大社会公众、金融消费者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7.活动议程</w:t>
      </w:r>
    </w:p>
    <w:tbl>
      <w:tblPr>
        <w:tblStyle w:val="5"/>
        <w:tblpPr w:leftFromText="180" w:rightFromText="180" w:vertAnchor="text" w:horzAnchor="page" w:tblpXSpec="center" w:tblpY="149"/>
        <w:tblOverlap w:val="never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923"/>
        <w:gridCol w:w="5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08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1923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事项</w:t>
            </w:r>
          </w:p>
        </w:tc>
        <w:tc>
          <w:tcPr>
            <w:tcW w:w="5414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参与对象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0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8:00前</w:t>
            </w:r>
          </w:p>
        </w:tc>
        <w:tc>
          <w:tcPr>
            <w:tcW w:w="1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场地布场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0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8:00-9:00</w:t>
            </w:r>
          </w:p>
        </w:tc>
        <w:tc>
          <w:tcPr>
            <w:tcW w:w="1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参与机构就位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参与的金融机构就位并布置宣传物料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0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现场宣传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各机构与现场的消费者进行互动，开展现场知识竞答，为消费者解答问题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8.报名事项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通过前期预通知，确定本次活动参加单位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b/>
          <w:bCs/>
          <w:sz w:val="32"/>
          <w:szCs w:val="32"/>
          <w:lang w:val="en-US" w:eastAsia="zh-CN"/>
        </w:rPr>
        <w:t>9.突发事件应急处理事项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各单位要严格依照应急管理相关工作要求，及时处置各类突发风险事件，维持活动现场秩序。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保险公司要提前建立应急预案，第一时间处置可能出现的现场矛盾纠纷、消费者非理性维权等情况的处理方案。承办广告公司准备好消毒、急救药品，同时要联系场地方提供相应的物业安保服务，并向相关辖区的派出所备案，申请相应的警力维持秩序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多场景、广宣传，持续营造消保宣教氛围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3月12日至18日期间，保险机构要通过“走出去、请进来”的方式积极组织开展宣传教育活动，做到面对面与消费者、社会公众进行沟通交流，倾听公众需求，开展公益服务，普及消费者权益理念，切实提升人民群众的满意度和获得感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各保险机构要重点开展形式多样、丰富多彩的活动。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一是依托服务网点进行一系列宣传。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完善基础设施配置，设置爱心座椅、无障碍通道等便民设施，增设助老护幼、关爱户外劳动者等区域，优化群众体验。充分利用LED显示屏滚动播放活动主题口号、消保教育短片，发放宣传折页、摆放宣传海报，开展知识竞赛、微沙龙等宣教活动，以丰富多样的形式宣传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金融消费者八项基本权利、强化“三适当”原则、金融纠纷多元化解机制、行业诚实守信文化。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二是组织开展“五进入”活动。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各保险机构通过走进农村、社区、企业、学校、商圈开展面向人民群众的宣传教育活动，要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发挥各单位自身优势，鼓励开展各类义诊服务，讲座、公益活动，加大对人民群众的的关怀。联合主流媒体开展多层次、多方位、多场景的教育宣传，并结合往年线上宣传经验，增加宣教辐射面积，进一步提高受众面和影响力，确保教育宣传活动切实有效，形成行业教育宣传合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（三）保险业特色宣教活动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1.保险合规文化大讲堂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为持续深入落实党中央、国务院“八五”普法规划和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国家金融监督管理总局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关于普法工作的要求，厚植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全社会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尊学守用的法治文化，为提升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我省保险行业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普法宣传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能力和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保险从业人员的法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意识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和能力，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推动保险业消费者权益保护工作，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不断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提升社会公众保险法律知识水平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增强保险消费者自我风险防范能力，多渠道、全方位开展全员普法教育与金融消费者普法宣传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省保险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携手江西省社联、江西省图书馆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联合开展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全省“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保险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普法宣传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活动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，依托“社科大讲堂”平台开展保险法律类科普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，为我省保险业持续健康发展营造良好的法治生态环境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（1）活动时间：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年3月1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上午9:15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（2）活动主办：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江西省保险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行业协会、学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江西省社联 江西省图书馆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活动协办：农银人寿江西分公司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（3）活动主题：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“金融消保在身边 保障权益防风险”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（4）活动对象：全省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保险从业人员、保险消费者及社会公众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（5）活动地点：省图书馆 （鹅湖厅）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（6）授课人：民商法专家教授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（7）授课内容：《消费者权益保护法》、《保险法》等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2.邀请媒体体验消保服务项目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（1）活动时间：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年3月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（2）活动地点：部分保险公司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3）活动内容：邀请省内媒体记者，在3月14日走进保险公司，与消费者一起体验保险公司的消保服务，学习消费者保护相关知识，解答社会公众关注的问题，在江西网络广播电视台“今视保险”专栏集中刊登消保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3.开展“3·15金融消保伴你行”知识嘉年华活动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（1）活动时间：2024年3月15日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（2）活动地点：铜锣湾一楼广场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（2）活动对象：消费者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3）活动内容：协会联合平安集团各子公司在铜锣湾广场一楼开展知识嘉年华活动，现场主要分为金融知识大讲堂区、互动趣玩装置区和金融知识集市。设置趣味游戏，加深消费者对保险知识的理解，邀请反诈中心民警、寿险专业人士前往现场为消费者讲解“反诈技巧”、“代理退保”相关金融知识，解决日常生活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的疑惑。</w:t>
      </w:r>
    </w:p>
    <w:p>
      <w:pPr>
        <w:numPr>
          <w:ilvl w:val="0"/>
          <w:numId w:val="1"/>
        </w:numPr>
        <w:tabs>
          <w:tab w:val="left" w:pos="1973"/>
        </w:tabs>
        <w:spacing w:line="600" w:lineRule="exact"/>
        <w:ind w:firstLine="640" w:firstLineChars="200"/>
        <w:rPr>
          <w:rFonts w:hint="eastAsia" w:ascii="黑体" w:hAnsi="黑体" w:eastAsia="黑体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（一）高度重视，加强宣传。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保险机构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要充分认识组织好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“3·15”金融消费者权益保护教育宣传活动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是保险业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践行金融工作政治性、人民性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的重要举措，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是培育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理性投资理念，依法维权，推进行业诚信文化建设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的重要抓手。要牢固树立大局观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，结合本单位实际情况，整合内外部资源，集中力量开展各项宣传教育活动。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黑体" w:hAnsi="黑体" w:eastAsia="黑体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（二）依法合规、防范风险。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各项活动必须确保依法合规，符合公序良俗。严格把握正确方向，牢牢把握积极正面的舆论导向。要加强对基层单位和员工的教育管理，坚决杜绝借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活动开展营销等商业性行为。要加强对线下集体活动的组织统筹，将安全生产摆在重中之重的位置，落实落细安全生产工作措施。</w:t>
      </w:r>
    </w:p>
    <w:p>
      <w:pPr>
        <w:numPr>
          <w:ilvl w:val="0"/>
          <w:numId w:val="0"/>
        </w:numPr>
        <w:tabs>
          <w:tab w:val="left" w:pos="1973"/>
        </w:tabs>
        <w:spacing w:line="600" w:lineRule="exact"/>
        <w:rPr>
          <w:rFonts w:hint="eastAsia" w:ascii="黑体" w:hAnsi="黑体" w:eastAsia="黑体" w:cstheme="minorEastAsia"/>
          <w:sz w:val="32"/>
          <w:szCs w:val="32"/>
          <w:lang w:val="en-US" w:eastAsia="zh-CN"/>
        </w:rPr>
      </w:pPr>
    </w:p>
    <w:p>
      <w:pPr>
        <w:tabs>
          <w:tab w:val="left" w:pos="1973"/>
        </w:tabs>
        <w:spacing w:line="600" w:lineRule="exact"/>
        <w:ind w:firstLine="640" w:firstLineChars="200"/>
        <w:jc w:val="left"/>
        <w:rPr>
          <w:rFonts w:hint="default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联 系 人：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王澍</w:t>
      </w:r>
    </w:p>
    <w:p>
      <w:pPr>
        <w:tabs>
          <w:tab w:val="left" w:pos="1973"/>
        </w:tabs>
        <w:spacing w:line="600" w:lineRule="exact"/>
        <w:ind w:firstLine="640" w:firstLineChars="200"/>
        <w:jc w:val="left"/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联系电话：0791-83963392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13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247816716</w:t>
      </w:r>
    </w:p>
    <w:p>
      <w:pPr>
        <w:tabs>
          <w:tab w:val="left" w:pos="1973"/>
        </w:tabs>
        <w:spacing w:line="600" w:lineRule="exact"/>
        <w:ind w:firstLine="640" w:firstLineChars="200"/>
        <w:jc w:val="left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邮    箱</w:t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t>：</w:t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instrText xml:space="preserve"> HYPERLINK "mailto:jxbxxh@163.com" </w:instrText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t>jxbxxh@163.com</w:t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  <w:u w:val="none"/>
        </w:rPr>
        <w:fldChar w:fldCharType="end"/>
      </w: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459A2"/>
    <w:multiLevelType w:val="singleLevel"/>
    <w:tmpl w:val="149459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72767C60"/>
    <w:rsid w:val="017A53D7"/>
    <w:rsid w:val="055E22AF"/>
    <w:rsid w:val="1F6C62F9"/>
    <w:rsid w:val="21647D6C"/>
    <w:rsid w:val="37593B7D"/>
    <w:rsid w:val="3D9B25C9"/>
    <w:rsid w:val="3DA02290"/>
    <w:rsid w:val="4A6F2813"/>
    <w:rsid w:val="4ACE3963"/>
    <w:rsid w:val="4B3A1E49"/>
    <w:rsid w:val="515526FB"/>
    <w:rsid w:val="54177BB8"/>
    <w:rsid w:val="57221014"/>
    <w:rsid w:val="6A8169B3"/>
    <w:rsid w:val="6CE26729"/>
    <w:rsid w:val="6F424979"/>
    <w:rsid w:val="72767C60"/>
    <w:rsid w:val="766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2024-03-07T09:24:00Z</dcterms:created>
  <dc:creator>X-rian</dc:creator>
  <cp:lastModifiedBy>X-rian</cp:lastModifiedBy>
  <cp:lastPrinted>2024-03-11T08:08:00Z</cp:lastPrinted>
  <dcterms:modified xsi:type="dcterms:W3CDTF">2024-03-11T10:22:36Z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BCB52CAF2DCF4446896BB8D5BF549EB5_11</vt:lpwstr>
  </property>
</Properties>
</file>