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pacing w:val="-4"/>
          <w:w w:val="97"/>
          <w:sz w:val="44"/>
          <w:szCs w:val="44"/>
        </w:rPr>
      </w:pPr>
      <w:r>
        <w:rPr>
          <w:rFonts w:hint="eastAsia" w:ascii="方正小标宋简体" w:hAnsi="方正小标宋简体" w:eastAsia="方正小标宋简体" w:cs="方正小标宋简体"/>
          <w:b w:val="0"/>
          <w:bCs/>
          <w:spacing w:val="-4"/>
          <w:w w:val="97"/>
          <w:sz w:val="44"/>
          <w:szCs w:val="44"/>
        </w:rPr>
        <w:t>全省保险业培育弘扬金融文化</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eastAsia="方正小标宋简体" w:asciiTheme="majorEastAsia" w:hAnsiTheme="majorEastAsia"/>
          <w:b/>
          <w:spacing w:val="-4"/>
          <w:w w:val="97"/>
          <w:sz w:val="44"/>
          <w:szCs w:val="44"/>
          <w:lang w:val="en-US" w:eastAsia="zh-CN"/>
        </w:rPr>
      </w:pPr>
      <w:r>
        <w:rPr>
          <w:rFonts w:hint="eastAsia" w:ascii="方正小标宋简体" w:hAnsi="方正小标宋简体" w:eastAsia="方正小标宋简体" w:cs="方正小标宋简体"/>
          <w:b w:val="0"/>
          <w:bCs/>
          <w:spacing w:val="-4"/>
          <w:w w:val="97"/>
          <w:sz w:val="44"/>
          <w:szCs w:val="44"/>
        </w:rPr>
        <w:t>先进</w:t>
      </w:r>
      <w:r>
        <w:rPr>
          <w:rFonts w:hint="eastAsia" w:ascii="方正小标宋简体" w:hAnsi="方正小标宋简体" w:eastAsia="方正小标宋简体" w:cs="方正小标宋简体"/>
          <w:b w:val="0"/>
          <w:bCs/>
          <w:spacing w:val="-4"/>
          <w:w w:val="97"/>
          <w:sz w:val="44"/>
          <w:szCs w:val="44"/>
          <w:lang w:val="en-US" w:eastAsia="zh-CN"/>
        </w:rPr>
        <w:t>集体先进事迹</w:t>
      </w:r>
    </w:p>
    <w:p>
      <w:pPr>
        <w:jc w:val="center"/>
        <w:rPr>
          <w:rFonts w:asciiTheme="majorEastAsia" w:hAnsiTheme="majorEastAsia" w:eastAsiaTheme="majorEastAsia"/>
          <w:b/>
          <w:spacing w:val="-4"/>
          <w:w w:val="97"/>
          <w:sz w:val="36"/>
          <w:szCs w:val="36"/>
        </w:rPr>
      </w:pPr>
    </w:p>
    <w:tbl>
      <w:tblPr>
        <w:tblStyle w:val="4"/>
        <w:tblW w:w="906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36"/>
        <w:gridCol w:w="1200"/>
        <w:gridCol w:w="2115"/>
        <w:gridCol w:w="1740"/>
        <w:gridCol w:w="317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036" w:type="dxa"/>
            <w:gridSpan w:val="2"/>
            <w:vAlign w:val="center"/>
          </w:tcPr>
          <w:p>
            <w:pPr>
              <w:jc w:val="center"/>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b/>
                <w:bCs/>
                <w:spacing w:val="12"/>
                <w:sz w:val="32"/>
                <w:szCs w:val="32"/>
                <w:lang w:val="en-US" w:eastAsia="zh-CN"/>
              </w:rPr>
              <w:t>机构名称</w:t>
            </w:r>
          </w:p>
        </w:tc>
        <w:tc>
          <w:tcPr>
            <w:tcW w:w="7030" w:type="dxa"/>
            <w:gridSpan w:val="3"/>
            <w:vAlign w:val="center"/>
          </w:tcPr>
          <w:p>
            <w:pPr>
              <w:jc w:val="center"/>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sz w:val="32"/>
                <w:szCs w:val="32"/>
                <w:lang w:val="en-US" w:eastAsia="zh-CN"/>
              </w:rPr>
              <w:t>太平人寿保险有限公司江西分公司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036" w:type="dxa"/>
            <w:gridSpan w:val="2"/>
            <w:vAlign w:val="center"/>
          </w:tcPr>
          <w:p>
            <w:pPr>
              <w:jc w:val="center"/>
              <w:rPr>
                <w:rFonts w:hint="eastAsia" w:ascii="仿宋_GB2312" w:hAnsi="仿宋_GB2312" w:eastAsia="仿宋_GB2312" w:cs="仿宋_GB2312"/>
                <w:spacing w:val="12"/>
                <w:sz w:val="32"/>
                <w:szCs w:val="32"/>
                <w:lang w:eastAsia="zh-CN"/>
              </w:rPr>
            </w:pPr>
            <w:r>
              <w:rPr>
                <w:rFonts w:hint="eastAsia" w:ascii="仿宋_GB2312" w:hAnsi="仿宋_GB2312" w:eastAsia="仿宋_GB2312" w:cs="仿宋_GB2312"/>
                <w:b/>
                <w:bCs/>
                <w:spacing w:val="12"/>
                <w:sz w:val="32"/>
                <w:szCs w:val="32"/>
                <w:lang w:val="en-US" w:eastAsia="zh-CN"/>
              </w:rPr>
              <w:t>联系人姓名</w:t>
            </w:r>
          </w:p>
        </w:tc>
        <w:tc>
          <w:tcPr>
            <w:tcW w:w="2115" w:type="dxa"/>
            <w:vAlign w:val="center"/>
          </w:tcPr>
          <w:p>
            <w:pPr>
              <w:pStyle w:val="3"/>
              <w:jc w:val="center"/>
              <w:rPr>
                <w:rFonts w:hint="default" w:ascii="仿宋_GB2312" w:hAnsi="仿宋_GB2312" w:eastAsia="仿宋_GB2312" w:cs="仿宋_GB2312"/>
                <w:spacing w:val="12"/>
                <w:sz w:val="32"/>
                <w:szCs w:val="32"/>
                <w:lang w:val="en-US" w:eastAsia="zh-CN"/>
              </w:rPr>
            </w:pPr>
            <w:r>
              <w:rPr>
                <w:rFonts w:hint="eastAsia" w:hAnsi="仿宋_GB2312" w:cs="仿宋_GB2312"/>
                <w:spacing w:val="12"/>
                <w:sz w:val="32"/>
                <w:szCs w:val="32"/>
                <w:lang w:val="en-US" w:eastAsia="zh-CN"/>
              </w:rPr>
              <w:t>徐妍静</w:t>
            </w:r>
          </w:p>
        </w:tc>
        <w:tc>
          <w:tcPr>
            <w:tcW w:w="1740" w:type="dxa"/>
            <w:vAlign w:val="center"/>
          </w:tcPr>
          <w:p>
            <w:pPr>
              <w:jc w:val="center"/>
              <w:rPr>
                <w:rFonts w:hint="eastAsia" w:ascii="仿宋_GB2312" w:hAnsi="仿宋_GB2312" w:eastAsia="仿宋_GB2312" w:cs="仿宋_GB2312"/>
                <w:spacing w:val="12"/>
                <w:sz w:val="32"/>
                <w:szCs w:val="32"/>
                <w:lang w:eastAsia="zh-CN"/>
              </w:rPr>
            </w:pPr>
            <w:r>
              <w:rPr>
                <w:rFonts w:hint="eastAsia" w:ascii="仿宋_GB2312" w:hAnsi="仿宋_GB2312" w:eastAsia="仿宋_GB2312" w:cs="仿宋_GB2312"/>
                <w:b/>
                <w:bCs/>
                <w:spacing w:val="12"/>
                <w:sz w:val="32"/>
                <w:szCs w:val="32"/>
                <w:lang w:val="en-US" w:eastAsia="zh-CN"/>
              </w:rPr>
              <w:t>联系电话</w:t>
            </w:r>
          </w:p>
        </w:tc>
        <w:tc>
          <w:tcPr>
            <w:tcW w:w="3175" w:type="dxa"/>
            <w:vAlign w:val="center"/>
          </w:tcPr>
          <w:p>
            <w:pPr>
              <w:jc w:val="center"/>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sz w:val="32"/>
                <w:szCs w:val="32"/>
                <w:lang w:val="en-US" w:eastAsia="zh-CN"/>
              </w:rPr>
              <w:t>87391729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2036" w:type="dxa"/>
            <w:gridSpan w:val="2"/>
            <w:vAlign w:val="center"/>
          </w:tcPr>
          <w:p>
            <w:pPr>
              <w:jc w:val="center"/>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b/>
                <w:bCs/>
                <w:spacing w:val="12"/>
                <w:sz w:val="32"/>
                <w:szCs w:val="32"/>
                <w:lang w:val="en-US" w:eastAsia="zh-CN"/>
              </w:rPr>
              <w:t>通讯地址</w:t>
            </w:r>
          </w:p>
        </w:tc>
        <w:tc>
          <w:tcPr>
            <w:tcW w:w="7030" w:type="dxa"/>
            <w:gridSpan w:val="3"/>
            <w:vAlign w:val="center"/>
          </w:tcPr>
          <w:p>
            <w:pPr>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sz w:val="32"/>
                <w:szCs w:val="32"/>
                <w:lang w:val="en-US" w:eastAsia="zh-CN"/>
              </w:rPr>
              <w:t>南昌市红谷滩区会展路135号中顺大厦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87" w:hRule="atLeast"/>
          <w:jc w:val="center"/>
        </w:trPr>
        <w:tc>
          <w:tcPr>
            <w:tcW w:w="836" w:type="dxa"/>
            <w:vAlign w:val="center"/>
          </w:tcPr>
          <w:p>
            <w:pPr>
              <w:jc w:val="center"/>
              <w:rPr>
                <w:rFonts w:hint="eastAsia" w:ascii="仿宋_GB2312" w:hAnsi="仿宋_GB2312" w:eastAsia="仿宋_GB2312" w:cs="仿宋_GB2312"/>
                <w:spacing w:val="12"/>
                <w:sz w:val="32"/>
                <w:szCs w:val="32"/>
              </w:rPr>
            </w:pPr>
          </w:p>
          <w:p>
            <w:pPr>
              <w:jc w:val="center"/>
              <w:rPr>
                <w:rFonts w:hint="default" w:ascii="仿宋_GB2312" w:hAnsi="仿宋_GB2312" w:eastAsia="仿宋_GB2312" w:cs="仿宋_GB2312"/>
                <w:spacing w:val="12"/>
                <w:sz w:val="32"/>
                <w:szCs w:val="32"/>
                <w:lang w:val="en-US" w:eastAsia="zh-CN"/>
              </w:rPr>
            </w:pPr>
            <w:r>
              <w:rPr>
                <w:rFonts w:hint="eastAsia" w:ascii="仿宋_GB2312" w:hAnsi="仿宋_GB2312" w:eastAsia="仿宋_GB2312" w:cs="仿宋_GB2312"/>
                <w:spacing w:val="12"/>
                <w:sz w:val="32"/>
                <w:szCs w:val="32"/>
                <w:lang w:val="en-US" w:eastAsia="zh-CN"/>
              </w:rPr>
              <w:t>事迹材料</w:t>
            </w:r>
          </w:p>
          <w:p>
            <w:pPr>
              <w:jc w:val="center"/>
              <w:rPr>
                <w:rFonts w:hint="eastAsia" w:ascii="仿宋_GB2312" w:hAnsi="仿宋_GB2312" w:eastAsia="仿宋_GB2312" w:cs="仿宋_GB2312"/>
                <w:spacing w:val="12"/>
                <w:sz w:val="32"/>
                <w:szCs w:val="32"/>
              </w:rPr>
            </w:pPr>
          </w:p>
          <w:p>
            <w:pPr>
              <w:jc w:val="center"/>
              <w:rPr>
                <w:rFonts w:hint="eastAsia" w:ascii="仿宋_GB2312" w:hAnsi="仿宋_GB2312" w:eastAsia="仿宋_GB2312" w:cs="仿宋_GB2312"/>
                <w:spacing w:val="12"/>
                <w:sz w:val="32"/>
                <w:szCs w:val="32"/>
              </w:rPr>
            </w:pPr>
          </w:p>
        </w:tc>
        <w:tc>
          <w:tcPr>
            <w:tcW w:w="8230" w:type="dxa"/>
            <w:gridSpan w:val="4"/>
            <w:vAlign w:val="center"/>
          </w:tcPr>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太平人寿江西分公司高度重视中国特色金融文化的培育与弘扬，始终秉持“诚信 专业 创新 价值”的核心价值观，不断深化金融文化建设，将“五要五不”践行到实际工作当中，积极推动各项业务稳健发展，充分发挥了保险业的“经济减震器”和“社会稳定器”的功能。</w:t>
            </w:r>
          </w:p>
          <w:p>
            <w:pPr>
              <w:ind w:firstLine="640" w:firstLineChars="200"/>
              <w:rPr>
                <w:rFonts w:hint="eastAsia" w:ascii="黑体" w:hAnsi="黑体" w:eastAsia="黑体" w:cs="楷体_GB2312"/>
                <w:sz w:val="32"/>
                <w:szCs w:val="32"/>
              </w:rPr>
            </w:pPr>
            <w:r>
              <w:rPr>
                <w:rFonts w:hint="eastAsia" w:ascii="黑体" w:hAnsi="黑体" w:eastAsia="黑体" w:cs="楷体_GB2312"/>
                <w:sz w:val="32"/>
                <w:szCs w:val="32"/>
              </w:rPr>
              <w:t>一、秉持诚实守信，筑牢业务根基</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rPr>
              <w:t>太平人寿江西分公司</w:t>
            </w:r>
            <w:r>
              <w:rPr>
                <w:rFonts w:hint="eastAsia" w:ascii="仿宋_GB2312" w:hAnsi="黑体" w:eastAsia="仿宋_GB2312"/>
                <w:sz w:val="32"/>
                <w:szCs w:val="32"/>
                <w:lang w:val="en-US" w:eastAsia="zh-CN"/>
              </w:rPr>
              <w:t>多措并举确保业务诚信开展。从严格品质管理，到高效理赔服务，再到全面的消费者权益保护与纠纷调解等，构建起诚信业务体系。</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lang w:val="en-US" w:eastAsia="zh-CN"/>
              </w:rPr>
              <w:t>公司</w:t>
            </w:r>
            <w:r>
              <w:rPr>
                <w:rFonts w:hint="eastAsia" w:ascii="仿宋_GB2312" w:hAnsi="黑体" w:eastAsia="仿宋_GB2312"/>
                <w:sz w:val="32"/>
                <w:szCs w:val="32"/>
              </w:rPr>
              <w:t>高度重视业务品质建设，</w:t>
            </w:r>
            <w:r>
              <w:rPr>
                <w:rFonts w:hint="eastAsia" w:ascii="仿宋_GB2312" w:hAnsi="黑体" w:eastAsia="仿宋_GB2312"/>
                <w:sz w:val="32"/>
                <w:szCs w:val="32"/>
                <w:lang w:val="en-US" w:eastAsia="zh-CN"/>
              </w:rPr>
              <w:t>持续</w:t>
            </w:r>
            <w:r>
              <w:rPr>
                <w:rFonts w:hint="eastAsia" w:ascii="仿宋_GB2312" w:hAnsi="黑体" w:eastAsia="仿宋_GB2312"/>
                <w:sz w:val="32"/>
                <w:szCs w:val="32"/>
              </w:rPr>
              <w:t>强化品质管理</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不断</w:t>
            </w:r>
            <w:r>
              <w:rPr>
                <w:rFonts w:hint="eastAsia" w:ascii="仿宋_GB2312" w:hAnsi="黑体" w:eastAsia="仿宋_GB2312"/>
                <w:sz w:val="32"/>
                <w:szCs w:val="32"/>
              </w:rPr>
              <w:t>优化品管制度，</w:t>
            </w:r>
            <w:r>
              <w:rPr>
                <w:rFonts w:hint="eastAsia" w:ascii="仿宋_GB2312" w:hAnsi="黑体" w:eastAsia="仿宋_GB2312"/>
                <w:sz w:val="32"/>
                <w:szCs w:val="32"/>
                <w:lang w:val="en-US" w:eastAsia="zh-CN"/>
              </w:rPr>
              <w:t>加强</w:t>
            </w:r>
            <w:r>
              <w:rPr>
                <w:rFonts w:hint="eastAsia" w:ascii="仿宋_GB2312" w:hAnsi="黑体" w:eastAsia="仿宋_GB2312"/>
                <w:sz w:val="32"/>
                <w:szCs w:val="32"/>
              </w:rPr>
              <w:t>日常品质文化宣导及内外勤员工行为监督</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凭借</w:t>
            </w:r>
            <w:r>
              <w:rPr>
                <w:rFonts w:hint="eastAsia" w:ascii="仿宋_GB2312" w:hAnsi="黑体" w:eastAsia="仿宋_GB2312"/>
                <w:sz w:val="32"/>
                <w:szCs w:val="32"/>
              </w:rPr>
              <w:t>严格的核保流程与风险评估体系，确保保单真实有效、信息透明，从源头保障消费者权益。多年来业务品质优秀，</w:t>
            </w:r>
            <w:r>
              <w:rPr>
                <w:rFonts w:hint="eastAsia" w:ascii="仿宋_GB2312" w:hAnsi="仿宋_GB2312" w:eastAsia="仿宋_GB2312" w:cs="仿宋_GB2312"/>
                <w:color w:val="auto"/>
                <w:sz w:val="32"/>
                <w:szCs w:val="32"/>
                <w:lang w:val="en-US" w:eastAsia="zh-CN"/>
              </w:rPr>
              <w:t>继续率</w:t>
            </w:r>
            <w:r>
              <w:rPr>
                <w:rFonts w:hint="eastAsia" w:ascii="仿宋_GB2312" w:hAnsi="仿宋_GB2312" w:eastAsia="仿宋_GB2312" w:cs="仿宋_GB2312"/>
                <w:color w:val="auto"/>
                <w:sz w:val="32"/>
                <w:szCs w:val="32"/>
              </w:rPr>
              <w:t>指标</w:t>
            </w:r>
            <w:r>
              <w:rPr>
                <w:rFonts w:hint="eastAsia" w:ascii="仿宋_GB2312" w:hAnsi="黑体" w:eastAsia="仿宋_GB2312"/>
                <w:sz w:val="32"/>
                <w:szCs w:val="32"/>
              </w:rPr>
              <w:t>连续1</w:t>
            </w:r>
            <w:r>
              <w:rPr>
                <w:rFonts w:hint="eastAsia" w:ascii="仿宋_GB2312" w:hAnsi="黑体" w:eastAsia="仿宋_GB2312"/>
                <w:sz w:val="32"/>
                <w:szCs w:val="32"/>
                <w:lang w:val="en-US" w:eastAsia="zh-CN"/>
              </w:rPr>
              <w:t>2</w:t>
            </w:r>
            <w:r>
              <w:rPr>
                <w:rFonts w:hint="eastAsia" w:ascii="仿宋_GB2312" w:hAnsi="黑体" w:eastAsia="仿宋_GB2312"/>
                <w:sz w:val="32"/>
                <w:szCs w:val="32"/>
              </w:rPr>
              <w:t>年位列市场第一，为公司的长远健康发展奠定了坚实的基础。</w:t>
            </w:r>
          </w:p>
          <w:p>
            <w:pPr>
              <w:ind w:firstLine="640" w:firstLineChars="200"/>
            </w:pPr>
            <w:r>
              <w:rPr>
                <w:rFonts w:hint="eastAsia" w:ascii="仿宋_GB2312" w:hAnsi="黑体" w:eastAsia="仿宋_GB2312"/>
                <w:sz w:val="32"/>
                <w:szCs w:val="32"/>
              </w:rPr>
              <w:t>在理赔服务上，建立了高效便捷的理赔通道</w:t>
            </w:r>
            <w:r>
              <w:rPr>
                <w:rFonts w:hint="eastAsia" w:ascii="仿宋_GB2312" w:hAnsi="黑体" w:eastAsia="仿宋_GB2312"/>
                <w:sz w:val="32"/>
                <w:szCs w:val="32"/>
                <w:lang w:eastAsia="zh-CN"/>
              </w:rPr>
              <w:t>。</w:t>
            </w:r>
            <w:r>
              <w:rPr>
                <w:rFonts w:hint="eastAsia" w:ascii="仿宋_GB2312" w:hAnsi="黑体" w:eastAsia="仿宋_GB2312"/>
                <w:sz w:val="32"/>
                <w:szCs w:val="32"/>
                <w:highlight w:val="none"/>
              </w:rPr>
              <w:t>截至2024年11月30日，公司赔付金额2.5亿元，赔付件数2万件，服务客户数量1.54万人，小额理赔结案时效0.1天，最快结案62秒，单人单次最高赔付357万。</w:t>
            </w:r>
            <w:r>
              <w:rPr>
                <w:rFonts w:hint="eastAsia" w:ascii="仿宋_GB2312" w:hAnsi="黑体" w:eastAsia="仿宋_GB2312"/>
                <w:sz w:val="32"/>
                <w:szCs w:val="32"/>
                <w:lang w:val="en-US" w:eastAsia="zh-CN"/>
              </w:rPr>
              <w:t>并</w:t>
            </w:r>
            <w:r>
              <w:rPr>
                <w:rFonts w:hint="eastAsia" w:ascii="仿宋_GB2312" w:hAnsi="黑体" w:eastAsia="仿宋_GB2312"/>
                <w:sz w:val="32"/>
                <w:szCs w:val="32"/>
              </w:rPr>
              <w:t>推出“理赔垫付”功能，实现了“支付有保险”。以实际行动践行“金融为民”、“应赔尽赔”的初心和理念</w:t>
            </w:r>
            <w:r>
              <w:rPr>
                <w:rFonts w:hint="eastAsia" w:ascii="仿宋_GB2312" w:hAnsi="黑体" w:eastAsia="仿宋_GB2312"/>
                <w:sz w:val="32"/>
                <w:szCs w:val="32"/>
                <w:lang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此外，</w:t>
            </w:r>
            <w:r>
              <w:rPr>
                <w:rFonts w:hint="eastAsia" w:ascii="仿宋_GB2312" w:hAnsi="黑体" w:eastAsia="仿宋_GB2312"/>
                <w:sz w:val="32"/>
                <w:szCs w:val="32"/>
              </w:rPr>
              <w:t>公司</w:t>
            </w:r>
            <w:r>
              <w:rPr>
                <w:rFonts w:hint="eastAsia" w:ascii="仿宋_GB2312" w:hAnsi="仿宋_GB2312" w:eastAsia="仿宋_GB2312" w:cs="仿宋_GB2312"/>
                <w:sz w:val="32"/>
                <w:szCs w:val="32"/>
                <w:lang w:val="en-US" w:eastAsia="zh-CN"/>
              </w:rPr>
              <w:t>积极开展消费者权益保护工作，打造“线上+线下”的消保宣教平台。线上借助公众号、视频号等渠道，线下发挥柜面阵地功能，广泛普及保险知识，提升消费者自我保护意识与能力。公司</w:t>
            </w:r>
            <w:r>
              <w:rPr>
                <w:rFonts w:hint="eastAsia" w:ascii="仿宋_GB2312" w:hAnsi="仿宋_GB2312" w:eastAsia="仿宋_GB2312" w:cs="仿宋_GB2312"/>
                <w:sz w:val="32"/>
                <w:szCs w:val="32"/>
              </w:rPr>
              <w:t>还积极投入到集中及日常宣传教育工作中，通过面对面的交流方式向广大公众普及金融知识，讲解金融风险防范要点，</w:t>
            </w:r>
            <w:r>
              <w:rPr>
                <w:rFonts w:hint="eastAsia" w:ascii="仿宋_GB2312" w:hAnsi="仿宋_GB2312" w:eastAsia="仿宋_GB2312" w:cs="仿宋_GB2312"/>
                <w:sz w:val="32"/>
                <w:szCs w:val="32"/>
                <w:lang w:val="en-US" w:eastAsia="zh-CN"/>
              </w:rPr>
              <w:t>进一步拓宽了金融知识普及的覆盖面与影响力，增强了公众的金融意识和风险防范能力。</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同时，公</w:t>
            </w:r>
            <w:r>
              <w:rPr>
                <w:rFonts w:hint="eastAsia" w:ascii="仿宋_GB2312" w:hAnsi="仿宋_GB2312" w:eastAsia="仿宋_GB2312" w:cs="仿宋_GB2312"/>
                <w:sz w:val="32"/>
                <w:szCs w:val="32"/>
              </w:rPr>
              <w:t>司严格执行保险消费纠纷多元化解工作管理办法及保险消费投诉业务实施细则等相关文件制度，主动推进重复投诉、缠访、闹访、触媒投诉等疑难案件通过保险行业协会调解进行处理，最大努力维护客户合法权益，避免客户因不合理行为失去保险保障。截</w:t>
            </w:r>
            <w:r>
              <w:rPr>
                <w:rFonts w:hint="eastAsia" w:ascii="仿宋_GB2312" w:hAnsi="仿宋_GB2312" w:eastAsia="仿宋_GB2312" w:cs="仿宋_GB2312"/>
                <w:sz w:val="32"/>
                <w:szCs w:val="32"/>
                <w:lang w:val="en-US" w:eastAsia="zh-CN"/>
              </w:rPr>
              <w:t>至</w:t>
            </w:r>
            <w:r>
              <w:rPr>
                <w:rFonts w:hint="eastAsia" w:ascii="仿宋_GB2312" w:hAnsi="仿宋_GB2312" w:eastAsia="仿宋_GB2312" w:cs="仿宋_GB2312"/>
                <w:sz w:val="32"/>
                <w:szCs w:val="32"/>
              </w:rPr>
              <w:t>2024年三季度，</w:t>
            </w:r>
            <w:r>
              <w:rPr>
                <w:rFonts w:hint="eastAsia" w:ascii="仿宋_GB2312" w:hAnsi="仿宋_GB2312" w:eastAsia="仿宋_GB2312" w:cs="仿宋_GB2312"/>
                <w:sz w:val="32"/>
                <w:szCs w:val="32"/>
                <w:lang w:val="en-US" w:eastAsia="zh-CN"/>
              </w:rPr>
              <w:t>分公司</w:t>
            </w:r>
            <w:r>
              <w:rPr>
                <w:rFonts w:hint="eastAsia" w:ascii="仿宋_GB2312" w:hAnsi="仿宋_GB2312" w:eastAsia="仿宋_GB2312" w:cs="仿宋_GB2312"/>
                <w:sz w:val="32"/>
                <w:szCs w:val="32"/>
              </w:rPr>
              <w:t>全省累计推动保险行业协会多元纠纷调解79起，调解成功率100%，涉及调解金额256.32万元，有效化解纠纷，维护地方金融稳定。</w:t>
            </w:r>
          </w:p>
          <w:p>
            <w:pPr>
              <w:ind w:firstLine="640" w:firstLineChars="200"/>
              <w:rPr>
                <w:rFonts w:hint="eastAsia" w:ascii="黑体" w:hAnsi="黑体" w:eastAsia="黑体" w:cs="楷体_GB2312"/>
                <w:sz w:val="32"/>
                <w:szCs w:val="32"/>
              </w:rPr>
            </w:pPr>
            <w:r>
              <w:rPr>
                <w:rFonts w:hint="eastAsia" w:ascii="黑体" w:hAnsi="黑体" w:eastAsia="黑体" w:cs="楷体_GB2312"/>
                <w:sz w:val="32"/>
                <w:szCs w:val="32"/>
              </w:rPr>
              <w:t>二、坚守以义取利，勇担社会责任</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太平人寿江西分公司始终积极践行央企社会责任，支持江西地方经济建设与发展，投身各项公益事业，连续两年被评为“义利天下·江西社会责任企业”。</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作为社会责任企业，太平人寿江西分公司积极</w:t>
            </w:r>
            <w:r>
              <w:rPr>
                <w:rFonts w:hint="eastAsia" w:ascii="仿宋_GB2312" w:hAnsi="仿宋_GB2312" w:eastAsia="仿宋_GB2312" w:cs="仿宋_GB2312"/>
                <w:sz w:val="32"/>
                <w:szCs w:val="32"/>
                <w:lang w:val="en-US" w:eastAsia="zh-CN"/>
              </w:rPr>
              <w:t>响应</w:t>
            </w:r>
            <w:r>
              <w:rPr>
                <w:rFonts w:hint="eastAsia" w:ascii="仿宋_GB2312" w:hAnsi="仿宋_GB2312" w:eastAsia="仿宋_GB2312" w:cs="仿宋_GB2312"/>
                <w:sz w:val="32"/>
                <w:szCs w:val="32"/>
              </w:rPr>
              <w:t>省委省政府号召，全力推进“险资入赣”，支持地方经济建设与发展。2014年-2024年协助集团在江西落地16个投资项目，合计落地资金138.8亿元。</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rPr>
              <w:t>在乡村振兴方面，2021年，太平人寿江西分公司定点帮扶赣州市全南县城厢镇樟树村。通过派驻专人定点支持、加强农村精神文明建设以及推动帮扶资金有效落地三方面落实帮扶责任。</w:t>
            </w:r>
            <w:r>
              <w:rPr>
                <w:rFonts w:hint="eastAsia" w:ascii="仿宋_GB2312" w:hAnsi="仿宋_GB2312" w:eastAsia="仿宋_GB2312" w:cs="仿宋_GB2312"/>
                <w:sz w:val="32"/>
                <w:szCs w:val="32"/>
                <w:highlight w:val="none"/>
              </w:rPr>
              <w:t>目前累计投入16.23万元帮扶资金，用于修建排水沟渠、维修路灯等基础设施项目。同时通过采购大米等方式消费帮扶</w:t>
            </w:r>
            <w:r>
              <w:rPr>
                <w:rFonts w:hint="eastAsia" w:ascii="仿宋_GB2312" w:hAnsi="仿宋_GB2312" w:eastAsia="仿宋_GB2312" w:cs="仿宋_GB2312"/>
                <w:sz w:val="32"/>
                <w:szCs w:val="32"/>
                <w:highlight w:val="none"/>
                <w:lang w:val="en-US" w:eastAsia="zh-CN"/>
              </w:rPr>
              <w:t>81.5</w:t>
            </w:r>
            <w:r>
              <w:rPr>
                <w:rFonts w:hint="eastAsia" w:ascii="仿宋_GB2312" w:hAnsi="仿宋_GB2312" w:eastAsia="仿宋_GB2312" w:cs="仿宋_GB2312"/>
                <w:sz w:val="32"/>
                <w:szCs w:val="32"/>
                <w:highlight w:val="none"/>
              </w:rPr>
              <w:t>万元。帮扶期间，太平人寿江西分公司向村里30位70岁以上老人赠送保险。从“富口袋”到“富脑袋”，太平人寿江西分公司还通过捐建定南县太平希望小学、“放飞足球梦”公益捐赠等方式，助力乡村教育建设，关爱青少年成长。</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太平人寿江西分公司始终坚持以弘扬社会正能量为己任，积极参与各项社会公益事业，围绕爱心献血、社会捐赠、助学支教、环保行动等领域开展各项公益活动。同时，太平人寿江西分公司与“1%工程”携手开展了近十年的公益旅程，以实际行动践行了“捐献1%，爱心100%”的理念，为贫困学生、革命老区群众和广大志愿者送去了温暖与希望。</w:t>
            </w:r>
          </w:p>
          <w:p>
            <w:pPr>
              <w:ind w:firstLine="640" w:firstLineChars="200"/>
              <w:rPr>
                <w:rFonts w:hint="eastAsia" w:ascii="黑体" w:hAnsi="黑体" w:eastAsia="黑体"/>
                <w:sz w:val="32"/>
                <w:szCs w:val="32"/>
              </w:rPr>
            </w:pPr>
            <w:r>
              <w:rPr>
                <w:rFonts w:hint="eastAsia" w:ascii="黑体" w:hAnsi="黑体" w:eastAsia="黑体"/>
                <w:sz w:val="32"/>
                <w:szCs w:val="32"/>
              </w:rPr>
              <w:t>三、笃行稳健审慎，</w:t>
            </w:r>
            <w:r>
              <w:rPr>
                <w:rFonts w:hint="eastAsia" w:ascii="黑体" w:hAnsi="黑体" w:eastAsia="黑体"/>
                <w:sz w:val="32"/>
                <w:szCs w:val="32"/>
                <w:lang w:val="en-US" w:eastAsia="zh-CN"/>
              </w:rPr>
              <w:t>推动</w:t>
            </w:r>
            <w:r>
              <w:rPr>
                <w:rFonts w:hint="eastAsia" w:ascii="黑体" w:hAnsi="黑体" w:eastAsia="黑体"/>
                <w:sz w:val="32"/>
                <w:szCs w:val="32"/>
              </w:rPr>
              <w:t>高质量发展</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公司</w:t>
            </w:r>
            <w:r>
              <w:rPr>
                <w:rFonts w:hint="eastAsia" w:ascii="仿宋_GB2312" w:hAnsi="仿宋_GB2312" w:eastAsia="仿宋_GB2312" w:cs="仿宋_GB2312"/>
                <w:sz w:val="32"/>
                <w:szCs w:val="32"/>
              </w:rPr>
              <w:t>始终坚持稳健经营策略，坚持系统推进高质量发展战略，注重发展效率与风险平衡。始终把高质量供给作为服务国家战略、实体经济和社会民生的着眼点、发力点。</w:t>
            </w:r>
            <w:r>
              <w:rPr>
                <w:rFonts w:hint="eastAsia" w:ascii="仿宋_GB2312" w:hAnsi="仿宋_GB2312" w:eastAsia="仿宋_GB2312" w:cs="仿宋_GB2312"/>
                <w:sz w:val="32"/>
                <w:szCs w:val="32"/>
                <w:lang w:val="en-US" w:eastAsia="zh-CN"/>
              </w:rPr>
              <w:t>坚持</w:t>
            </w:r>
            <w:r>
              <w:rPr>
                <w:rFonts w:hint="eastAsia" w:ascii="仿宋_GB2312" w:hAnsi="仿宋_GB2312" w:eastAsia="仿宋_GB2312" w:cs="仿宋_GB2312"/>
                <w:sz w:val="32"/>
                <w:szCs w:val="32"/>
              </w:rPr>
              <w:t>“央企情怀、客户至上、创新引领、价值导向”</w:t>
            </w:r>
            <w:r>
              <w:rPr>
                <w:rFonts w:hint="eastAsia" w:ascii="仿宋_GB2312" w:hAnsi="仿宋_GB2312" w:eastAsia="仿宋_GB2312" w:cs="仿宋_GB2312"/>
                <w:sz w:val="32"/>
                <w:szCs w:val="32"/>
                <w:lang w:val="en-US" w:eastAsia="zh-CN"/>
              </w:rPr>
              <w:t>的总体要求，通过</w:t>
            </w:r>
            <w:r>
              <w:rPr>
                <w:rFonts w:hint="eastAsia" w:ascii="仿宋_GB2312" w:hAnsi="仿宋_GB2312" w:eastAsia="仿宋_GB2312" w:cs="仿宋_GB2312"/>
                <w:sz w:val="32"/>
                <w:szCs w:val="32"/>
              </w:rPr>
              <w:t>聚焦金融</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五篇大文章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，努力提升产品和服务供给质量，拓展高质量供给的空间。</w:t>
            </w: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rPr>
              <w:t>重塑价值管理体系，夯实高质量供给的底座。进一步健全“一纵一横”（一纵是利润中心考核机制，一横是全费用价值考核体系）的价值管理架构，从资产、负债两端同时发力，</w:t>
            </w:r>
            <w:r>
              <w:rPr>
                <w:rFonts w:hint="eastAsia" w:ascii="仿宋_GB2312" w:hAnsi="仿宋_GB2312" w:eastAsia="仿宋_GB2312" w:cs="仿宋_GB2312"/>
                <w:sz w:val="32"/>
                <w:szCs w:val="32"/>
                <w:lang w:val="en-US" w:eastAsia="zh-CN"/>
              </w:rPr>
              <w:t>落实监管新规新政，稳固</w:t>
            </w:r>
            <w:r>
              <w:rPr>
                <w:rFonts w:hint="eastAsia" w:ascii="仿宋_GB2312" w:hAnsi="仿宋_GB2312" w:eastAsia="仿宋_GB2312" w:cs="仿宋_GB2312"/>
                <w:sz w:val="32"/>
                <w:szCs w:val="32"/>
              </w:rPr>
              <w:t>经营发展根基。</w:t>
            </w:r>
          </w:p>
          <w:p>
            <w:pPr>
              <w:pStyle w:val="2"/>
              <w:rPr>
                <w:rFonts w:hint="default" w:eastAsia="仿宋_GB2312"/>
                <w:lang w:val="en-US" w:eastAsia="zh-CN"/>
              </w:rPr>
            </w:pPr>
            <w:r>
              <w:rPr>
                <w:rFonts w:hint="eastAsia" w:ascii="仿宋_GB2312" w:hAnsi="仿宋_GB2312" w:eastAsia="仿宋_GB2312" w:cs="仿宋_GB2312"/>
                <w:sz w:val="32"/>
                <w:szCs w:val="32"/>
                <w:lang w:val="en-US" w:eastAsia="zh-CN"/>
              </w:rPr>
              <w:t>太平人寿江西</w:t>
            </w:r>
            <w:r>
              <w:rPr>
                <w:rFonts w:hint="eastAsia" w:ascii="仿宋_GB2312" w:hAnsi="仿宋_GB2312" w:eastAsia="仿宋_GB2312" w:cs="仿宋_GB2312"/>
                <w:sz w:val="32"/>
                <w:szCs w:val="32"/>
              </w:rPr>
              <w:t>分公司紧紧围绕集团和总公司发展战略，制定</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2023-2025年</w:t>
            </w:r>
            <w:r>
              <w:rPr>
                <w:rFonts w:hint="eastAsia" w:ascii="仿宋_GB2312" w:hAnsi="仿宋_GB2312" w:eastAsia="仿宋_GB2312" w:cs="仿宋_GB2312"/>
                <w:sz w:val="32"/>
                <w:szCs w:val="32"/>
                <w:lang w:val="en-US" w:eastAsia="zh-CN"/>
              </w:rPr>
              <w:t>分公司</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新三年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高质量发展战略——赣计划，本</w:t>
            </w:r>
            <w:r>
              <w:rPr>
                <w:rFonts w:hint="eastAsia" w:ascii="仿宋_GB2312" w:hAnsi="仿宋_GB2312" w:eastAsia="仿宋_GB2312" w:cs="仿宋_GB2312"/>
                <w:sz w:val="32"/>
                <w:szCs w:val="32"/>
                <w:lang w:val="en-US" w:eastAsia="zh-CN"/>
              </w:rPr>
              <w:t>计</w:t>
            </w:r>
            <w:r>
              <w:rPr>
                <w:rFonts w:hint="eastAsia" w:ascii="仿宋_GB2312" w:hAnsi="仿宋_GB2312" w:eastAsia="仿宋_GB2312" w:cs="仿宋_GB2312"/>
                <w:sz w:val="32"/>
                <w:szCs w:val="32"/>
              </w:rPr>
              <w:t>划旨在提升江西分公司在新的发展阶段开拓创新，降本增效，增强可持续发展能力和行业竞争力，推动公司全面开创价值优先的高质量发展新格局，更好地服务社会保障体系、服务民生，更好地服务经济社会发展。</w:t>
            </w:r>
            <w:r>
              <w:rPr>
                <w:rFonts w:hint="eastAsia" w:ascii="仿宋_GB2312" w:hAnsi="仿宋_GB2312" w:eastAsia="仿宋_GB2312" w:cs="仿宋_GB2312"/>
                <w:sz w:val="32"/>
                <w:szCs w:val="32"/>
                <w:lang w:val="en-US" w:eastAsia="zh-CN"/>
              </w:rPr>
              <w:t>将太平人寿江西分公司</w:t>
            </w:r>
            <w:r>
              <w:rPr>
                <w:rFonts w:hint="eastAsia" w:ascii="仿宋_GB2312" w:hAnsi="仿宋_GB2312" w:eastAsia="仿宋_GB2312" w:cs="仿宋_GB2312"/>
                <w:sz w:val="32"/>
                <w:szCs w:val="32"/>
              </w:rPr>
              <w:t>建设成“监管认可、总部放心、客户信赖、员工成长、品优业强、专业高效”一流寿险公司。</w:t>
            </w:r>
            <w:r>
              <w:rPr>
                <w:rFonts w:hint="eastAsia" w:ascii="仿宋_GB2312" w:hAnsi="仿宋_GB2312" w:eastAsia="仿宋_GB2312" w:cs="仿宋_GB2312"/>
                <w:sz w:val="32"/>
                <w:szCs w:val="32"/>
                <w:lang w:val="en-US" w:eastAsia="zh-CN"/>
              </w:rPr>
              <w:t>通过高质量党建、重点工作突破、高质量组织发展、高客和绩优队伍建设、强化基础管理、提升员工能力、优化营销环境、强化合规管理八个路径推动公司实现高质量发展。</w:t>
            </w:r>
          </w:p>
          <w:p>
            <w:pPr>
              <w:ind w:firstLine="640" w:firstLineChars="200"/>
              <w:rPr>
                <w:rFonts w:hint="default" w:ascii="黑体" w:hAnsi="黑体" w:eastAsia="黑体"/>
                <w:sz w:val="32"/>
                <w:szCs w:val="32"/>
                <w:lang w:val="en-US" w:eastAsia="zh-CN"/>
              </w:rPr>
            </w:pPr>
            <w:r>
              <w:rPr>
                <w:rFonts w:hint="eastAsia" w:ascii="黑体" w:hAnsi="黑体" w:eastAsia="黑体"/>
                <w:sz w:val="32"/>
                <w:szCs w:val="32"/>
              </w:rPr>
              <w:t>四、推动守正创新，</w:t>
            </w:r>
            <w:r>
              <w:rPr>
                <w:rFonts w:hint="eastAsia" w:ascii="黑体" w:hAnsi="黑体" w:eastAsia="黑体"/>
                <w:sz w:val="32"/>
                <w:szCs w:val="32"/>
                <w:lang w:val="en-US" w:eastAsia="zh-CN"/>
              </w:rPr>
              <w:t>提升服务质效</w:t>
            </w:r>
          </w:p>
          <w:p>
            <w:pPr>
              <w:pStyle w:val="2"/>
              <w:rPr>
                <w:rFonts w:ascii="仿宋_GB2312" w:hAnsi="黑体" w:eastAsia="仿宋_GB2312"/>
                <w:sz w:val="32"/>
                <w:szCs w:val="32"/>
              </w:rPr>
            </w:pPr>
            <w:r>
              <w:rPr>
                <w:rFonts w:hint="eastAsia" w:ascii="仿宋_GB2312" w:hAnsi="黑体" w:eastAsia="仿宋_GB2312"/>
                <w:sz w:val="32"/>
                <w:szCs w:val="32"/>
              </w:rPr>
              <w:t>太平人寿江西分公司始终坚持以人民为中心的价值取向，始终把握金融工作的政治性、人民性，着力解决人民群众“急难愁盼”热点问题，</w:t>
            </w:r>
            <w:r>
              <w:rPr>
                <w:rFonts w:hint="eastAsia" w:ascii="仿宋_GB2312" w:hAnsi="黑体" w:eastAsia="仿宋_GB2312"/>
                <w:sz w:val="32"/>
                <w:szCs w:val="32"/>
                <w:lang w:val="en-US" w:eastAsia="zh-CN"/>
              </w:rPr>
              <w:t>不断创新服务模式与产品，提升服务体验与质量。通过</w:t>
            </w:r>
            <w:r>
              <w:rPr>
                <w:rFonts w:hint="eastAsia" w:ascii="仿宋_GB2312" w:hAnsi="黑体" w:eastAsia="仿宋_GB2312" w:cstheme="minorBidi"/>
                <w:kern w:val="2"/>
                <w:sz w:val="32"/>
                <w:szCs w:val="32"/>
                <w:lang w:val="en-US" w:eastAsia="zh-CN" w:bidi="ar-SA"/>
              </w:rPr>
              <w:t>丰富普惠型保险产品，满足特定群体服务需求。7月推出适合包括“新市民”在内的多类人群可选的“太平温暖相随意外伤害保险”以及适合老年人群体的“太平温暖陪伴意外医疗保险”，两款产品相互补充，共同构筑特定人群保险网。</w:t>
            </w:r>
          </w:p>
          <w:p>
            <w:pPr>
              <w:ind w:firstLine="640" w:firstLineChars="200"/>
              <w:rPr>
                <w:rFonts w:hint="eastAsia" w:ascii="仿宋_GB2312" w:hAnsi="黑体" w:eastAsia="仿宋_GB2312"/>
                <w:sz w:val="32"/>
                <w:szCs w:val="32"/>
                <w:lang w:eastAsia="zh-CN"/>
              </w:rPr>
            </w:pPr>
            <w:r>
              <w:rPr>
                <w:rFonts w:hint="eastAsia" w:ascii="仿宋_GB2312" w:hAnsi="黑体" w:eastAsia="仿宋_GB2312"/>
                <w:b w:val="0"/>
                <w:bCs w:val="0"/>
                <w:sz w:val="32"/>
                <w:szCs w:val="32"/>
              </w:rPr>
              <w:t>在客户服务方面，</w:t>
            </w:r>
            <w:r>
              <w:rPr>
                <w:rFonts w:hint="eastAsia" w:ascii="仿宋_GB2312" w:hAnsi="黑体" w:eastAsia="仿宋_GB2312"/>
                <w:sz w:val="32"/>
                <w:szCs w:val="32"/>
              </w:rPr>
              <w:t>不断打造智能客服体系，借助线上服务矩阵，客户足不出户3分钟内即可完成业务办理</w:t>
            </w:r>
            <w:r>
              <w:rPr>
                <w:rFonts w:hint="eastAsia" w:ascii="仿宋_GB2312" w:hAnsi="黑体" w:eastAsia="仿宋_GB2312"/>
                <w:b w:val="0"/>
                <w:bCs w:val="0"/>
                <w:sz w:val="32"/>
                <w:szCs w:val="32"/>
              </w:rPr>
              <w:t>。</w:t>
            </w:r>
            <w:r>
              <w:rPr>
                <w:rFonts w:hint="eastAsia" w:ascii="仿宋_GB2312" w:hAnsi="黑体" w:eastAsia="仿宋_GB2312"/>
                <w:b w:val="0"/>
                <w:bCs w:val="0"/>
                <w:sz w:val="32"/>
                <w:szCs w:val="32"/>
                <w:lang w:val="en-US" w:eastAsia="zh-CN"/>
              </w:rPr>
              <w:t>同时，</w:t>
            </w:r>
            <w:r>
              <w:rPr>
                <w:rFonts w:hint="eastAsia" w:ascii="仿宋_GB2312" w:hAnsi="黑体" w:eastAsia="仿宋_GB2312"/>
                <w:sz w:val="32"/>
                <w:szCs w:val="32"/>
              </w:rPr>
              <w:t>优化理赔服务流程，推出“秒赔”服务，整个过程只需“选、核、拍、签”简单四步，业务人员可实时跟进案件处理进度，让客户既不用“跑腿”，轻松获赔</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在做好金融“五篇大文章”的背景下，公司积极布局银发经济，将“保险+医康养”模式作为服务国家战略的重要抓手，持续探索保险与医康养产业的融合发展。设立为客户提供一站式的社区养老服务品牌“太平乐享养老”，目前已初步形成“乐享家”“乐享游”“乐享居”三大养老服务业务。</w:t>
            </w:r>
            <w:r>
              <w:rPr>
                <w:rFonts w:hint="eastAsia" w:ascii="仿宋_GB2312" w:hAnsi="仿宋_GB2312" w:eastAsia="仿宋_GB2312" w:cs="仿宋_GB2312"/>
                <w:sz w:val="32"/>
                <w:szCs w:val="32"/>
              </w:rPr>
              <w:t>太平人寿江西分公司依托“太平乐享养老”，充分发挥江西资源优势，成功推进江西月之泉·宜居康养综合体等社区成为“乐享养老”项目成员。</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同时，太平人寿江西分公司以“赣计划”为指引，</w:t>
            </w:r>
            <w:r>
              <w:rPr>
                <w:rFonts w:hint="eastAsia" w:ascii="仿宋_GB2312" w:hAnsi="仿宋_GB2312" w:eastAsia="仿宋_GB2312" w:cs="仿宋_GB2312"/>
                <w:sz w:val="32"/>
                <w:szCs w:val="32"/>
              </w:rPr>
              <w:t>深入贯彻实施高质量发展战略，落实创新引领要求，鼓励员工在工作中积极提出创新想法和建议，</w:t>
            </w:r>
            <w:r>
              <w:rPr>
                <w:rFonts w:hint="eastAsia" w:ascii="仿宋_GB2312" w:hAnsi="黑体" w:eastAsia="仿宋_GB2312"/>
                <w:sz w:val="32"/>
                <w:szCs w:val="32"/>
              </w:rPr>
              <w:t>分公司特开展了“微创新大赛”，</w:t>
            </w:r>
            <w:r>
              <w:rPr>
                <w:rFonts w:hint="eastAsia" w:ascii="仿宋_GB2312" w:hAnsi="仿宋_GB2312" w:eastAsia="仿宋_GB2312" w:cs="仿宋_GB2312"/>
                <w:sz w:val="32"/>
                <w:szCs w:val="32"/>
              </w:rPr>
              <w:t>围绕业务促进、客户服务、降本增效、风控合规四个系列</w:t>
            </w:r>
            <w:r>
              <w:rPr>
                <w:rFonts w:hint="eastAsia" w:ascii="仿宋_GB2312" w:hAnsi="黑体" w:eastAsia="仿宋_GB2312"/>
                <w:sz w:val="32"/>
                <w:szCs w:val="32"/>
              </w:rPr>
              <w:t>收集了62个微创新项目。进一步</w:t>
            </w:r>
            <w:r>
              <w:rPr>
                <w:rFonts w:hint="eastAsia" w:ascii="仿宋_GB2312" w:hAnsi="仿宋_GB2312" w:eastAsia="仿宋_GB2312" w:cs="仿宋_GB2312"/>
                <w:sz w:val="32"/>
                <w:szCs w:val="32"/>
              </w:rPr>
              <w:t>激发员工的创新积极性和创造力，提升经营管理的效率、效益和效果，助力公司高质量发展。</w:t>
            </w:r>
          </w:p>
          <w:p>
            <w:pPr>
              <w:ind w:firstLine="640" w:firstLineChars="200"/>
              <w:rPr>
                <w:rFonts w:hint="eastAsia" w:ascii="黑体" w:hAnsi="黑体" w:eastAsia="黑体"/>
                <w:sz w:val="32"/>
                <w:szCs w:val="32"/>
              </w:rPr>
            </w:pPr>
            <w:r>
              <w:rPr>
                <w:rFonts w:hint="eastAsia" w:ascii="黑体" w:hAnsi="黑体" w:eastAsia="黑体"/>
                <w:sz w:val="32"/>
                <w:szCs w:val="32"/>
              </w:rPr>
              <w:t>五、严守依法合规，构建长效机制</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太平人寿江西分公司始终将合规文化作为企业发展的生命线，坚定不移地深耕于合规文化建设领域，全力塑造诚实守信的合规经营文化。通过定期开展合规教育培训以及案例警示教育等多样化活动，全力提升员工的合规意识与职业道德。截至2024年三季度末，该公司已举办270场合规培训，覆盖了59%的在职代理人。与2023年相比，参与学习的人数实现了106%的显著增长，覆盖率提升46%，总学时增加 99%，成果斐然。</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与此同时，公司持续完善并优化问责体系，对违规行为秉持“零容忍”的坚决态度，对于屡查屡犯、此查彼犯的行为，采取更为严厉的问责措施，坚决构建不敢违规、不能违规、不想违规的高压态势。以此筑牢防范各类合规风险的坚实屏障，为公司的健康、稳定、持续运营保驾护航</w:t>
            </w:r>
            <w:r>
              <w:rPr>
                <w:rFonts w:hint="eastAsia" w:ascii="仿宋_GB2312" w:hAnsi="黑体" w:eastAsia="仿宋_GB2312"/>
                <w:sz w:val="32"/>
                <w:szCs w:val="32"/>
                <w:lang w:eastAsia="zh-CN"/>
              </w:rPr>
              <w:t>。</w:t>
            </w:r>
          </w:p>
          <w:p>
            <w:pPr>
              <w:tabs>
                <w:tab w:val="left" w:pos="1540"/>
              </w:tabs>
              <w:ind w:firstLine="640" w:firstLineChars="200"/>
              <w:rPr>
                <w:rFonts w:hint="eastAsia" w:ascii="仿宋_GB2312" w:hAnsi="仿宋_GB2312" w:eastAsia="仿宋_GB2312" w:cs="仿宋_GB2312"/>
                <w:color w:val="000000"/>
                <w:sz w:val="32"/>
                <w:szCs w:val="32"/>
                <w:lang w:val="en-US" w:eastAsia="zh-CN"/>
              </w:rPr>
            </w:pPr>
            <w:r>
              <w:rPr>
                <w:rFonts w:hint="eastAsia" w:ascii="仿宋_GB2312" w:hAnsi="黑体" w:eastAsia="仿宋_GB2312" w:cstheme="minorBidi"/>
                <w:kern w:val="2"/>
                <w:sz w:val="32"/>
                <w:szCs w:val="32"/>
                <w:lang w:val="en-US" w:eastAsia="zh-CN" w:bidi="ar-SA"/>
              </w:rPr>
              <w:t>未来，太平人寿江西分公司将继续深入践行中国特色金融文化“五要五不”实践要求，为江西保险行业发展与金融文化建设贡献更大力量。</w:t>
            </w:r>
          </w:p>
          <w:p>
            <w:pPr>
              <w:tabs>
                <w:tab w:val="left" w:pos="1540"/>
              </w:tabs>
              <w:ind w:firstLine="3200" w:firstLineChars="1000"/>
              <w:rPr>
                <w:rFonts w:hint="eastAsia" w:ascii="仿宋_GB2312" w:hAnsi="仿宋_GB2312" w:eastAsia="仿宋_GB2312" w:cs="仿宋_GB2312"/>
                <w:color w:val="000000"/>
                <w:sz w:val="32"/>
                <w:szCs w:val="32"/>
                <w:lang w:val="en-US" w:eastAsia="zh-CN"/>
              </w:rPr>
            </w:pPr>
          </w:p>
          <w:p>
            <w:pPr>
              <w:tabs>
                <w:tab w:val="left" w:pos="1540"/>
              </w:tabs>
              <w:ind w:firstLine="5760" w:firstLineChars="1800"/>
              <w:rPr>
                <w:rFonts w:hint="eastAsia" w:ascii="仿宋_GB2312" w:hAnsi="仿宋_GB2312" w:eastAsia="仿宋_GB2312" w:cs="仿宋_GB2312"/>
                <w:color w:val="000000"/>
                <w:sz w:val="32"/>
                <w:szCs w:val="32"/>
                <w:lang w:val="en-US" w:eastAsia="zh-CN"/>
              </w:rPr>
            </w:pPr>
            <w:bookmarkStart w:id="0" w:name="_GoBack"/>
            <w:bookmarkEnd w:id="0"/>
            <w:r>
              <w:rPr>
                <w:rFonts w:hint="eastAsia" w:ascii="仿宋_GB2312" w:hAnsi="仿宋_GB2312" w:eastAsia="仿宋_GB2312" w:cs="仿宋_GB2312"/>
                <w:color w:val="000000"/>
                <w:sz w:val="32"/>
                <w:szCs w:val="32"/>
                <w:lang w:val="en-US" w:eastAsia="zh-CN"/>
              </w:rPr>
              <w:t>盖章</w:t>
            </w:r>
          </w:p>
          <w:p>
            <w:pPr>
              <w:tabs>
                <w:tab w:val="left" w:pos="1540"/>
              </w:tabs>
              <w:ind w:firstLine="5120" w:firstLineChars="160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年  月   日</w:t>
            </w:r>
          </w:p>
          <w:p>
            <w:pPr>
              <w:tabs>
                <w:tab w:val="left" w:pos="1540"/>
              </w:tabs>
              <w:ind w:firstLine="3200" w:firstLineChars="1000"/>
              <w:rPr>
                <w:rFonts w:hint="default" w:ascii="仿宋_GB2312" w:hAnsi="仿宋_GB2312" w:eastAsia="仿宋_GB2312" w:cs="仿宋_GB2312"/>
                <w:color w:val="000000"/>
                <w:sz w:val="32"/>
                <w:szCs w:val="32"/>
                <w:lang w:val="en-US" w:eastAsia="zh-CN"/>
              </w:rPr>
            </w:pPr>
          </w:p>
        </w:tc>
      </w:tr>
    </w:tbl>
    <w:p>
      <w:pPr>
        <w:rPr>
          <w:sz w:val="22"/>
          <w:szCs w:val="28"/>
        </w:rPr>
      </w:pPr>
    </w:p>
    <w:p>
      <w:pPr>
        <w:rPr>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77F96"/>
    <w:rsid w:val="0D7C413F"/>
    <w:rsid w:val="0EF20068"/>
    <w:rsid w:val="25647880"/>
    <w:rsid w:val="29732BE2"/>
    <w:rsid w:val="31C378A6"/>
    <w:rsid w:val="34013646"/>
    <w:rsid w:val="36130F58"/>
    <w:rsid w:val="457F490C"/>
    <w:rsid w:val="4A9D2C75"/>
    <w:rsid w:val="4E6D184C"/>
    <w:rsid w:val="51797438"/>
    <w:rsid w:val="6D6E540F"/>
    <w:rsid w:val="6E02769D"/>
    <w:rsid w:val="76771497"/>
    <w:rsid w:val="7B3A3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880" w:firstLineChars="200"/>
    </w:pPr>
  </w:style>
  <w:style w:type="paragraph" w:styleId="3">
    <w:name w:val="Date"/>
    <w:basedOn w:val="1"/>
    <w:next w:val="1"/>
    <w:qFormat/>
    <w:uiPriority w:val="0"/>
    <w:rPr>
      <w:rFonts w:ascii="仿宋_GB2312" w:eastAsia="仿宋_GB231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tplife</dc:creator>
  <cp:lastModifiedBy>未定义</cp:lastModifiedBy>
  <dcterms:modified xsi:type="dcterms:W3CDTF">2024-12-17T03:19:05Z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06145C1A9D564410974E6B639ABBD015</vt:lpwstr>
  </property>
  <property fmtid="{D5CDD505-2E9C-101B-9397-08002B2CF9AE}" pid="4" name="5B77E7CEEC58BC6AFAE8886BEB80DBEB">
    <vt:lpwstr>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</vt:lpwstr>
  </property>
</Properties>
</file>