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jc w:val="left"/>
        <w:rPr>
          <w:rFonts w:ascii="黑体" w:hAnsi="黑体" w:eastAsia="黑体"/>
          <w:sz w:val="28"/>
          <w:szCs w:val="32"/>
        </w:rPr>
      </w:pPr>
      <w:bookmarkStart w:id="0" w:name="_GoBack"/>
      <w:bookmarkEnd w:id="0"/>
      <w:r>
        <w:rPr>
          <w:rFonts w:ascii="黑体" w:hAnsi="黑体" w:eastAsia="黑体"/>
          <w:sz w:val="28"/>
          <w:szCs w:val="32"/>
        </w:rPr>
        <w:t>附件</w:t>
      </w:r>
      <w:r>
        <w:rPr>
          <w:rFonts w:hint="eastAsia" w:ascii="黑体" w:hAnsi="黑体" w:eastAsia="黑体"/>
          <w:sz w:val="28"/>
          <w:szCs w:val="32"/>
        </w:rPr>
        <w:t>1</w:t>
      </w:r>
    </w:p>
    <w:p>
      <w:pPr>
        <w:spacing w:line="700" w:lineRule="exact"/>
        <w:jc w:val="center"/>
        <w:rPr>
          <w:rFonts w:ascii="华文中宋" w:hAnsi="华文中宋" w:eastAsia="华文中宋" w:cs="华文中宋"/>
          <w:b/>
          <w:bCs/>
          <w:sz w:val="52"/>
          <w:szCs w:val="36"/>
        </w:rPr>
      </w:pPr>
      <w:r>
        <w:rPr>
          <w:rFonts w:hint="eastAsia" w:ascii="华文中宋" w:hAnsi="华文中宋" w:eastAsia="华文中宋" w:cs="华文中宋"/>
          <w:b/>
          <w:bCs/>
          <w:sz w:val="52"/>
          <w:szCs w:val="36"/>
        </w:rPr>
        <w:t>全省保险业培育弘扬金融文化</w:t>
      </w:r>
    </w:p>
    <w:p>
      <w:pPr>
        <w:spacing w:line="700" w:lineRule="exact"/>
        <w:ind w:firstLine="2082" w:firstLineChars="400"/>
        <w:jc w:val="left"/>
        <w:rPr>
          <w:rFonts w:ascii="华文中宋" w:hAnsi="华文中宋" w:eastAsia="华文中宋" w:cs="华文中宋"/>
          <w:b/>
          <w:bCs/>
          <w:sz w:val="52"/>
          <w:szCs w:val="36"/>
        </w:rPr>
      </w:pPr>
      <w:r>
        <w:rPr>
          <w:rFonts w:hint="eastAsia" w:ascii="华文中宋" w:hAnsi="华文中宋" w:eastAsia="华文中宋" w:cs="华文中宋"/>
          <w:b/>
          <w:bCs/>
          <w:sz w:val="52"/>
          <w:szCs w:val="36"/>
        </w:rPr>
        <w:t>先进集体申报表</w:t>
      </w:r>
    </w:p>
    <w:tbl>
      <w:tblPr>
        <w:tblStyle w:val="5"/>
        <w:tblpPr w:leftFromText="180" w:rightFromText="180" w:vertAnchor="text" w:horzAnchor="page" w:tblpX="1655" w:tblpY="448"/>
        <w:tblOverlap w:val="never"/>
        <w:tblW w:w="89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1"/>
        <w:gridCol w:w="2556"/>
        <w:gridCol w:w="2244"/>
        <w:gridCol w:w="2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1831" w:type="dxa"/>
            <w:noWrap w:val="0"/>
            <w:vAlign w:val="top"/>
          </w:tcPr>
          <w:p>
            <w:pPr>
              <w:jc w:val="center"/>
              <w:rPr>
                <w:rFonts w:ascii="仿宋" w:hAnsi="仿宋" w:eastAsia="仿宋"/>
                <w:sz w:val="28"/>
              </w:rPr>
            </w:pPr>
            <w:r>
              <w:rPr>
                <w:rFonts w:hint="eastAsia" w:ascii="华文仿宋" w:hAnsi="华文仿宋" w:eastAsia="华文仿宋" w:cs="华文仿宋"/>
                <w:sz w:val="28"/>
              </w:rPr>
              <w:t>机构名称</w:t>
            </w:r>
          </w:p>
        </w:tc>
        <w:tc>
          <w:tcPr>
            <w:tcW w:w="7080" w:type="dxa"/>
            <w:gridSpan w:val="3"/>
            <w:noWrap w:val="0"/>
            <w:vAlign w:val="top"/>
          </w:tcPr>
          <w:p>
            <w:pPr>
              <w:jc w:val="center"/>
              <w:rPr>
                <w:rFonts w:ascii="华文仿宋" w:hAnsi="华文仿宋" w:eastAsia="华文仿宋" w:cs="华文仿宋"/>
                <w:sz w:val="28"/>
              </w:rPr>
            </w:pPr>
            <w:r>
              <w:rPr>
                <w:rFonts w:hint="eastAsia" w:ascii="华文仿宋" w:hAnsi="华文仿宋" w:eastAsia="华文仿宋" w:cs="华文仿宋"/>
                <w:sz w:val="28"/>
              </w:rPr>
              <w:t>富德生命人寿保险股份有限公司江西分公司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1831" w:type="dxa"/>
            <w:noWrap w:val="0"/>
            <w:vAlign w:val="top"/>
          </w:tcPr>
          <w:p>
            <w:pPr>
              <w:jc w:val="center"/>
              <w:rPr>
                <w:rFonts w:ascii="华文仿宋" w:hAnsi="华文仿宋" w:eastAsia="华文仿宋" w:cs="华文仿宋"/>
                <w:sz w:val="28"/>
              </w:rPr>
            </w:pPr>
            <w:r>
              <w:rPr>
                <w:rFonts w:hint="eastAsia" w:ascii="华文仿宋" w:hAnsi="华文仿宋" w:eastAsia="华文仿宋" w:cs="华文仿宋"/>
                <w:sz w:val="28"/>
              </w:rPr>
              <w:t>联系人姓名</w:t>
            </w:r>
          </w:p>
        </w:tc>
        <w:tc>
          <w:tcPr>
            <w:tcW w:w="2556" w:type="dxa"/>
            <w:noWrap w:val="0"/>
            <w:vAlign w:val="top"/>
          </w:tcPr>
          <w:p>
            <w:pPr>
              <w:jc w:val="center"/>
              <w:rPr>
                <w:rFonts w:ascii="华文仿宋" w:hAnsi="华文仿宋" w:eastAsia="华文仿宋" w:cs="华文仿宋"/>
                <w:sz w:val="28"/>
              </w:rPr>
            </w:pPr>
            <w:r>
              <w:rPr>
                <w:rFonts w:hint="eastAsia" w:ascii="华文仿宋" w:hAnsi="华文仿宋" w:eastAsia="华文仿宋" w:cs="华文仿宋"/>
                <w:sz w:val="28"/>
              </w:rPr>
              <w:t>夏甜</w:t>
            </w:r>
          </w:p>
        </w:tc>
        <w:tc>
          <w:tcPr>
            <w:tcW w:w="2244" w:type="dxa"/>
            <w:noWrap w:val="0"/>
            <w:vAlign w:val="top"/>
          </w:tcPr>
          <w:p>
            <w:pPr>
              <w:jc w:val="center"/>
              <w:rPr>
                <w:rFonts w:ascii="华文仿宋" w:hAnsi="华文仿宋" w:eastAsia="华文仿宋" w:cs="华文仿宋"/>
                <w:sz w:val="28"/>
              </w:rPr>
            </w:pPr>
            <w:r>
              <w:rPr>
                <w:rFonts w:hint="eastAsia" w:ascii="华文仿宋" w:hAnsi="华文仿宋" w:eastAsia="华文仿宋" w:cs="华文仿宋"/>
                <w:sz w:val="28"/>
              </w:rPr>
              <w:t>联系电话</w:t>
            </w:r>
          </w:p>
        </w:tc>
        <w:tc>
          <w:tcPr>
            <w:tcW w:w="2280" w:type="dxa"/>
            <w:noWrap w:val="0"/>
            <w:vAlign w:val="top"/>
          </w:tcPr>
          <w:p>
            <w:pPr>
              <w:jc w:val="center"/>
              <w:rPr>
                <w:rFonts w:ascii="华文仿宋" w:hAnsi="华文仿宋" w:eastAsia="华文仿宋" w:cs="华文仿宋"/>
                <w:sz w:val="28"/>
              </w:rPr>
            </w:pPr>
            <w:r>
              <w:rPr>
                <w:rFonts w:hint="eastAsia" w:ascii="华文仿宋" w:hAnsi="华文仿宋" w:eastAsia="华文仿宋" w:cs="华文仿宋"/>
                <w:sz w:val="28"/>
              </w:rPr>
              <w:t>177934822</w:t>
            </w:r>
            <w:r>
              <w:rPr>
                <w:rFonts w:ascii="华文仿宋" w:hAnsi="华文仿宋" w:eastAsia="华文仿宋" w:cs="华文仿宋"/>
                <w:sz w:val="28"/>
              </w:rPr>
              <w:t>2</w:t>
            </w:r>
            <w:r>
              <w:rPr>
                <w:rFonts w:hint="eastAsia" w:ascii="华文仿宋" w:hAnsi="华文仿宋" w:eastAsia="华文仿宋" w:cs="华文仿宋"/>
                <w:sz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Pr>
        <w:tc>
          <w:tcPr>
            <w:tcW w:w="1831" w:type="dxa"/>
            <w:noWrap w:val="0"/>
            <w:vAlign w:val="top"/>
          </w:tcPr>
          <w:p>
            <w:pPr>
              <w:jc w:val="center"/>
              <w:rPr>
                <w:rFonts w:ascii="华文仿宋" w:hAnsi="华文仿宋" w:eastAsia="华文仿宋" w:cs="华文仿宋"/>
                <w:sz w:val="28"/>
              </w:rPr>
            </w:pPr>
            <w:r>
              <w:rPr>
                <w:rFonts w:hint="eastAsia" w:ascii="华文仿宋" w:hAnsi="华文仿宋" w:eastAsia="华文仿宋" w:cs="华文仿宋"/>
                <w:sz w:val="28"/>
              </w:rPr>
              <w:t>通讯地址</w:t>
            </w:r>
          </w:p>
        </w:tc>
        <w:tc>
          <w:tcPr>
            <w:tcW w:w="7080" w:type="dxa"/>
            <w:gridSpan w:val="3"/>
            <w:noWrap w:val="0"/>
            <w:vAlign w:val="top"/>
          </w:tcPr>
          <w:p>
            <w:pPr>
              <w:jc w:val="center"/>
              <w:rPr>
                <w:rFonts w:ascii="华文仿宋" w:hAnsi="华文仿宋" w:eastAsia="华文仿宋" w:cs="华文仿宋"/>
                <w:sz w:val="28"/>
              </w:rPr>
            </w:pPr>
            <w:r>
              <w:rPr>
                <w:rFonts w:hint="eastAsia" w:ascii="华文仿宋" w:hAnsi="华文仿宋" w:eastAsia="华文仿宋" w:cs="华文仿宋"/>
                <w:sz w:val="28"/>
              </w:rPr>
              <w:t>红谷滩新区商都路88号锐拓资本大厦11楼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9348" w:hRule="atLeast"/>
        </w:trPr>
        <w:tc>
          <w:tcPr>
            <w:tcW w:w="1831" w:type="dxa"/>
            <w:noWrap w:val="0"/>
            <w:vAlign w:val="center"/>
          </w:tcPr>
          <w:p>
            <w:pPr>
              <w:jc w:val="center"/>
              <w:rPr>
                <w:rFonts w:ascii="仿宋" w:hAnsi="仿宋" w:eastAsia="仿宋"/>
                <w:sz w:val="28"/>
              </w:rPr>
            </w:pPr>
            <w:r>
              <w:rPr>
                <w:rFonts w:hint="eastAsia" w:ascii="华文仿宋" w:hAnsi="华文仿宋" w:eastAsia="华文仿宋" w:cs="华文仿宋"/>
                <w:sz w:val="28"/>
              </w:rPr>
              <w:t>事迹材料</w:t>
            </w:r>
          </w:p>
        </w:tc>
        <w:tc>
          <w:tcPr>
            <w:tcW w:w="7080" w:type="dxa"/>
            <w:gridSpan w:val="3"/>
            <w:noWrap w:val="0"/>
            <w:vAlign w:val="top"/>
          </w:tcPr>
          <w:p>
            <w:pPr>
              <w:widowControl/>
              <w:ind w:firstLine="480" w:firstLineChars="200"/>
              <w:jc w:val="left"/>
              <w:rPr>
                <w:rFonts w:hint="eastAsia" w:ascii="仿宋" w:hAnsi="仿宋" w:eastAsia="仿宋"/>
                <w:sz w:val="24"/>
                <w:szCs w:val="22"/>
              </w:rPr>
            </w:pPr>
            <w:r>
              <w:rPr>
                <w:rFonts w:ascii="仿宋" w:hAnsi="仿宋" w:eastAsia="仿宋"/>
                <w:sz w:val="24"/>
                <w:szCs w:val="22"/>
              </w:rPr>
              <w:t>“国家之魂，文以化之，文以铸之。”</w:t>
            </w:r>
            <w:r>
              <w:rPr>
                <w:rFonts w:hint="eastAsia" w:ascii="仿宋" w:hAnsi="仿宋" w:eastAsia="仿宋"/>
                <w:sz w:val="24"/>
                <w:szCs w:val="22"/>
              </w:rPr>
              <w:t>同样</w:t>
            </w:r>
            <w:r>
              <w:rPr>
                <w:rFonts w:ascii="仿宋" w:hAnsi="仿宋" w:eastAsia="仿宋"/>
                <w:sz w:val="24"/>
                <w:szCs w:val="22"/>
              </w:rPr>
              <w:t>，文化也是企业的“根”与“魂”</w:t>
            </w:r>
            <w:r>
              <w:rPr>
                <w:rFonts w:hint="eastAsia" w:ascii="仿宋" w:hAnsi="仿宋" w:eastAsia="仿宋"/>
                <w:sz w:val="24"/>
                <w:szCs w:val="22"/>
              </w:rPr>
              <w:t>。富德生命人寿江西分公司始终坚持以习近平新时代中国特色社会主义思想为指引，认真贯彻落实《江西银行业保险业培育和弘扬中国特色金融文化实施方案》文件要求，坚持“深化”“内化”“转化”一体推进，大力弘扬诚实守信、以义取利、稳健审慎、守正创新、依法合规的优秀传统文化，强化金融文化自觉与自信，深入践行"五要五不"的实践要求，助力公司高质量发展。</w:t>
            </w:r>
          </w:p>
          <w:p>
            <w:pPr>
              <w:widowControl/>
              <w:ind w:firstLine="482" w:firstLineChars="200"/>
              <w:jc w:val="left"/>
            </w:pPr>
            <w:r>
              <w:rPr>
                <w:rFonts w:hint="eastAsia" w:ascii="仿宋" w:hAnsi="仿宋" w:eastAsia="仿宋"/>
                <w:b/>
                <w:bCs/>
                <w:sz w:val="24"/>
                <w:szCs w:val="22"/>
              </w:rPr>
              <w:t>一、抓教育，持续在深化于学上下狠功夫。</w:t>
            </w:r>
            <w:r>
              <w:rPr>
                <w:rFonts w:hint="eastAsia" w:ascii="仿宋" w:hAnsi="仿宋" w:eastAsia="仿宋"/>
                <w:sz w:val="24"/>
                <w:szCs w:val="22"/>
              </w:rPr>
              <w:t>坚持党建引领，筑牢思想根基。一是班子成员带头学。班子成员结合“四下基层”工作要求，深入基层宣讲中国特色金融文化，带头示范学习“五要五不”实践要求，更好的以“头雁效应”引领“群雁齐飞”。二是支部党员专题学。党支部通过“三会一课”的形式，专题学习中国特色金融文化，并围绕“五要五不”，紧密结合工作岗位实际，分享所思所感，为广大员工树立了学习榜样。三是全体员工跟进学。通过分公司和各机构广泛宣传动员内外勤员工参加“铸就金融文化之魂，我与赣分共成长”演讲比赛，激发了员工对金融文化的思考，深刻地认识到了金融文化的重要性，也更加清晰地看到了自己在金融文化建设中的角色和责任。</w:t>
            </w:r>
          </w:p>
          <w:p>
            <w:pPr>
              <w:ind w:firstLine="482" w:firstLineChars="200"/>
              <w:rPr>
                <w:rFonts w:ascii="仿宋" w:hAnsi="仿宋" w:eastAsia="仿宋"/>
                <w:sz w:val="24"/>
                <w:szCs w:val="22"/>
              </w:rPr>
            </w:pPr>
            <w:r>
              <w:rPr>
                <w:rFonts w:hint="eastAsia" w:ascii="仿宋" w:hAnsi="仿宋" w:eastAsia="仿宋"/>
                <w:b/>
                <w:bCs/>
                <w:sz w:val="24"/>
                <w:szCs w:val="22"/>
              </w:rPr>
              <w:t>二、抓结合，持续在内化于心上下狠功夫。</w:t>
            </w:r>
            <w:r>
              <w:rPr>
                <w:rFonts w:hint="eastAsia" w:ascii="仿宋" w:hAnsi="仿宋" w:eastAsia="仿宋"/>
                <w:sz w:val="24"/>
                <w:szCs w:val="22"/>
              </w:rPr>
              <w:t>坚持做好结合文章，筑牢文化根基。一是与党纪学习教育相结合。全省开展党纪学习教育专题党课，认真学习《中国共产党纪律处分条例》，同时结合主题党日，组织各党支部观看警示教育片《国家监察》、参观邓小平纪律建设展，做到学纪、知纪、名纪、守纪。二是与学习贯彻党的二十届三中全会相结合。全省开展积极培育和弘扬中国特色金融文化，赋能公司高质量转型发展专题党课，结合二十届三中全会内容，深入剖析“五要五不”在业务发展、风险管理、客户服务等方面的应用与成效。</w:t>
            </w:r>
          </w:p>
          <w:p>
            <w:pPr>
              <w:ind w:firstLine="482" w:firstLineChars="200"/>
              <w:rPr>
                <w:rFonts w:hint="eastAsia" w:ascii="仿宋" w:hAnsi="仿宋" w:eastAsia="仿宋"/>
                <w:sz w:val="24"/>
                <w:szCs w:val="22"/>
              </w:rPr>
            </w:pPr>
            <w:r>
              <w:rPr>
                <w:rFonts w:hint="eastAsia" w:ascii="仿宋" w:hAnsi="仿宋" w:eastAsia="仿宋"/>
                <w:b/>
                <w:bCs/>
                <w:sz w:val="24"/>
                <w:szCs w:val="22"/>
              </w:rPr>
              <w:t>三、抓提升，持续在转化于行上下狠功夫。</w:t>
            </w:r>
            <w:r>
              <w:rPr>
                <w:rFonts w:hint="eastAsia" w:ascii="仿宋" w:hAnsi="仿宋" w:eastAsia="仿宋"/>
                <w:sz w:val="24"/>
                <w:szCs w:val="22"/>
              </w:rPr>
              <w:t>坚持把培育和弘扬中国特色金融文化融入业务经营、内控合规、员工培训等方面，汇聚高质量发展的文化动能。一是提升合规管理质效。通过晨会普法学习、夜校培训、知识测试等形式，培育公司员工合规经营理念，强化干部员工的纪律和法治观念，切实将中国特色金融文化纳入内控合规管理。二是提升志愿服务质效。公司积极探索“公益+保险”的创新之路，持续在精准扶贫、捐资助学、敬老尊老、关爱留守儿童等公益活动中发挥保险力量，</w:t>
            </w:r>
            <w:r>
              <w:rPr>
                <w:rFonts w:ascii="仿宋" w:hAnsi="仿宋" w:eastAsia="仿宋"/>
                <w:sz w:val="24"/>
                <w:szCs w:val="22"/>
              </w:rPr>
              <w:t>截至目前，公司“生命微力量”基金累计帮扶72名优秀寒门学子圆梦大学，累计资助学杂费115.2万元；捐资30万元建成江西首个“富德生命人寿红十字社区颐养</w:t>
            </w:r>
            <w:r>
              <w:rPr>
                <w:rFonts w:hint="eastAsia" w:ascii="仿宋" w:hAnsi="仿宋" w:eastAsia="仿宋"/>
                <w:sz w:val="24"/>
                <w:szCs w:val="22"/>
              </w:rPr>
              <w:t>之</w:t>
            </w:r>
            <w:r>
              <w:rPr>
                <w:rFonts w:ascii="仿宋" w:hAnsi="仿宋" w:eastAsia="仿宋"/>
                <w:sz w:val="24"/>
                <w:szCs w:val="22"/>
              </w:rPr>
              <w:t>家”；在全省34个县区开展扶贫项目累计捐赠超400万元；“小海豚计划”公益活动开展12年来，我司已在全省11个地市捐助超4500名困难儿童，捐赠保险保障超2.54亿，资助爱心物资超200万元，持续做深做实金融“五篇大文章”。三是提升金融服务质效。始终践行“富及民众、德行天下”的核心价值观，不断优化产品结构，强化客户体验，拓展市场渠道，守护人民美好生活</w:t>
            </w:r>
            <w:r>
              <w:rPr>
                <w:rFonts w:hint="eastAsia" w:ascii="仿宋" w:hAnsi="仿宋" w:eastAsia="仿宋"/>
                <w:sz w:val="24"/>
                <w:szCs w:val="22"/>
              </w:rPr>
              <w:t>，</w:t>
            </w:r>
            <w:r>
              <w:rPr>
                <w:rFonts w:ascii="仿宋" w:hAnsi="仿宋" w:eastAsia="仿宋"/>
                <w:sz w:val="24"/>
                <w:szCs w:val="22"/>
              </w:rPr>
              <w:t>截至目前，公司累计为全省超7.63万人次提供就业岗位，有效缓解社会就业压力；累计缴纳各类税费2.37亿元，为社会的发展和进步作出了应有贡献。</w:t>
            </w:r>
          </w:p>
          <w:p>
            <w:pPr>
              <w:ind w:firstLine="480" w:firstLineChars="200"/>
              <w:rPr>
                <w:rFonts w:hint="eastAsia" w:ascii="等线" w:hAnsi="等线" w:eastAsia="等线" w:cs="等线"/>
                <w:sz w:val="32"/>
                <w:szCs w:val="32"/>
              </w:rPr>
            </w:pPr>
            <w:r>
              <w:rPr>
                <w:rFonts w:hint="eastAsia" w:ascii="仿宋" w:hAnsi="仿宋" w:eastAsia="仿宋"/>
                <w:sz w:val="24"/>
                <w:szCs w:val="22"/>
              </w:rPr>
              <w:t>今后，富德生命人寿江西分公司将进一步增强践行中国特色金融文化的自觉与自信，做中国特色金融文化的积极传播者和模范践行者，为公司高质量发展夯实文化之基、筑牢文化之魂，为建设金融强国贡献力量。</w:t>
            </w:r>
          </w:p>
          <w:p>
            <w:pPr>
              <w:ind w:firstLine="480" w:firstLineChars="200"/>
              <w:rPr>
                <w:rFonts w:hint="eastAsia" w:ascii="仿宋" w:hAnsi="仿宋" w:eastAsia="仿宋"/>
                <w:sz w:val="24"/>
                <w:szCs w:val="22"/>
              </w:rPr>
            </w:pPr>
          </w:p>
          <w:p>
            <w:pPr>
              <w:ind w:firstLine="480" w:firstLineChars="200"/>
              <w:rPr>
                <w:rFonts w:hint="eastAsia" w:ascii="仿宋" w:hAnsi="仿宋" w:eastAsia="仿宋"/>
                <w:sz w:val="24"/>
                <w:szCs w:val="22"/>
              </w:rPr>
            </w:pPr>
          </w:p>
          <w:p>
            <w:pPr>
              <w:ind w:firstLine="480" w:firstLineChars="200"/>
              <w:rPr>
                <w:rFonts w:hint="eastAsia" w:ascii="仿宋" w:hAnsi="仿宋" w:eastAsia="仿宋"/>
                <w:sz w:val="24"/>
                <w:szCs w:val="22"/>
              </w:rPr>
            </w:pPr>
          </w:p>
          <w:p>
            <w:pPr>
              <w:ind w:firstLine="480" w:firstLineChars="200"/>
              <w:rPr>
                <w:rFonts w:hint="eastAsia" w:ascii="仿宋" w:hAnsi="仿宋" w:eastAsia="仿宋"/>
                <w:sz w:val="24"/>
                <w:szCs w:val="22"/>
              </w:rPr>
            </w:pPr>
          </w:p>
          <w:p>
            <w:pPr>
              <w:ind w:firstLine="480" w:firstLineChars="200"/>
              <w:rPr>
                <w:rFonts w:hint="eastAsia" w:ascii="仿宋" w:hAnsi="仿宋" w:eastAsia="仿宋"/>
                <w:sz w:val="24"/>
                <w:szCs w:val="22"/>
              </w:rPr>
            </w:pPr>
          </w:p>
          <w:p>
            <w:pPr>
              <w:rPr>
                <w:rFonts w:hint="eastAsia" w:ascii="仿宋" w:hAnsi="仿宋" w:eastAsia="仿宋"/>
                <w:sz w:val="24"/>
                <w:szCs w:val="22"/>
              </w:rPr>
            </w:pPr>
          </w:p>
          <w:p>
            <w:pPr>
              <w:widowControl/>
              <w:spacing w:line="380" w:lineRule="exact"/>
              <w:rPr>
                <w:rFonts w:ascii="仿宋" w:hAnsi="仿宋" w:eastAsia="仿宋"/>
                <w:sz w:val="24"/>
                <w:szCs w:val="22"/>
              </w:rPr>
            </w:pPr>
          </w:p>
          <w:p>
            <w:pPr>
              <w:widowControl/>
              <w:spacing w:line="380" w:lineRule="exact"/>
              <w:rPr>
                <w:rFonts w:ascii="仿宋" w:hAnsi="仿宋" w:eastAsia="仿宋"/>
                <w:sz w:val="24"/>
                <w:szCs w:val="22"/>
              </w:rPr>
            </w:pPr>
          </w:p>
          <w:p>
            <w:pPr>
              <w:widowControl/>
              <w:spacing w:line="380" w:lineRule="exact"/>
              <w:rPr>
                <w:rFonts w:ascii="仿宋" w:hAnsi="仿宋" w:eastAsia="仿宋"/>
                <w:sz w:val="24"/>
                <w:szCs w:val="22"/>
              </w:rPr>
            </w:pPr>
          </w:p>
          <w:p>
            <w:pPr>
              <w:widowControl/>
              <w:spacing w:line="380" w:lineRule="exact"/>
              <w:rPr>
                <w:rFonts w:ascii="仿宋" w:hAnsi="仿宋" w:eastAsia="仿宋"/>
                <w:sz w:val="24"/>
                <w:szCs w:val="22"/>
              </w:rPr>
            </w:pPr>
          </w:p>
          <w:p>
            <w:pPr>
              <w:widowControl/>
              <w:spacing w:line="380" w:lineRule="exact"/>
              <w:rPr>
                <w:rFonts w:ascii="仿宋" w:hAnsi="仿宋" w:eastAsia="仿宋"/>
                <w:sz w:val="24"/>
                <w:szCs w:val="22"/>
              </w:rPr>
            </w:pPr>
          </w:p>
          <w:p>
            <w:pPr>
              <w:widowControl/>
              <w:spacing w:line="380" w:lineRule="exact"/>
              <w:rPr>
                <w:rFonts w:ascii="仿宋" w:hAnsi="仿宋" w:eastAsia="仿宋"/>
                <w:sz w:val="24"/>
                <w:szCs w:val="22"/>
              </w:rPr>
            </w:pPr>
          </w:p>
          <w:p>
            <w:pPr>
              <w:widowControl/>
              <w:spacing w:line="380" w:lineRule="exact"/>
              <w:rPr>
                <w:rFonts w:hint="eastAsia" w:ascii="仿宋" w:hAnsi="仿宋" w:eastAsia="仿宋"/>
                <w:sz w:val="24"/>
                <w:szCs w:val="22"/>
              </w:rPr>
            </w:pPr>
          </w:p>
          <w:p>
            <w:pPr>
              <w:widowControl/>
              <w:spacing w:line="380" w:lineRule="exact"/>
              <w:rPr>
                <w:rFonts w:ascii="仿宋" w:hAnsi="仿宋" w:eastAsia="仿宋"/>
                <w:sz w:val="24"/>
                <w:szCs w:val="22"/>
              </w:rPr>
            </w:pPr>
          </w:p>
          <w:p>
            <w:pPr>
              <w:widowControl/>
              <w:spacing w:line="380" w:lineRule="exact"/>
              <w:ind w:firstLine="480" w:firstLineChars="200"/>
              <w:rPr>
                <w:rFonts w:hint="eastAsia" w:ascii="仿宋" w:hAnsi="仿宋" w:eastAsia="仿宋"/>
                <w:sz w:val="24"/>
                <w:szCs w:val="22"/>
              </w:rPr>
            </w:pPr>
          </w:p>
          <w:p>
            <w:pPr>
              <w:spacing w:line="480" w:lineRule="exact"/>
              <w:ind w:right="840"/>
              <w:jc w:val="center"/>
              <w:rPr>
                <w:rFonts w:ascii="仿宋" w:hAnsi="仿宋" w:eastAsia="仿宋"/>
                <w:sz w:val="24"/>
                <w:szCs w:val="22"/>
              </w:rPr>
            </w:pPr>
            <w:r>
              <w:rPr>
                <w:rFonts w:hint="eastAsia" w:ascii="仿宋" w:hAnsi="仿宋" w:eastAsia="仿宋"/>
                <w:sz w:val="24"/>
                <w:szCs w:val="22"/>
              </w:rPr>
              <w:t xml:space="preserve"> </w:t>
            </w:r>
            <w:r>
              <w:rPr>
                <w:rFonts w:ascii="仿宋" w:hAnsi="仿宋" w:eastAsia="仿宋"/>
                <w:sz w:val="24"/>
                <w:szCs w:val="22"/>
              </w:rPr>
              <w:t xml:space="preserve">                            盖章</w:t>
            </w:r>
          </w:p>
          <w:p>
            <w:pPr>
              <w:spacing w:line="480" w:lineRule="exact"/>
              <w:ind w:right="280"/>
              <w:jc w:val="center"/>
              <w:rPr>
                <w:rFonts w:ascii="仿宋" w:hAnsi="仿宋" w:eastAsia="仿宋"/>
                <w:sz w:val="24"/>
                <w:szCs w:val="22"/>
              </w:rPr>
            </w:pPr>
            <w:r>
              <w:rPr>
                <w:rFonts w:hint="eastAsia" w:ascii="仿宋" w:hAnsi="仿宋" w:eastAsia="仿宋"/>
                <w:sz w:val="24"/>
                <w:szCs w:val="22"/>
              </w:rPr>
              <w:t xml:space="preserve"> </w:t>
            </w:r>
            <w:r>
              <w:rPr>
                <w:rFonts w:ascii="仿宋" w:hAnsi="仿宋" w:eastAsia="仿宋"/>
                <w:sz w:val="24"/>
                <w:szCs w:val="22"/>
              </w:rPr>
              <w:t xml:space="preserve">                        2024年10</w:t>
            </w:r>
            <w:r>
              <w:rPr>
                <w:rFonts w:hint="eastAsia" w:ascii="仿宋" w:hAnsi="仿宋" w:eastAsia="仿宋"/>
                <w:sz w:val="24"/>
                <w:szCs w:val="22"/>
              </w:rPr>
              <w:t>月</w:t>
            </w:r>
            <w:r>
              <w:rPr>
                <w:rFonts w:ascii="仿宋" w:hAnsi="仿宋" w:eastAsia="仿宋"/>
                <w:sz w:val="24"/>
                <w:szCs w:val="22"/>
              </w:rPr>
              <w:t>25</w:t>
            </w:r>
            <w:r>
              <w:rPr>
                <w:rFonts w:hint="eastAsia" w:ascii="仿宋" w:hAnsi="仿宋" w:eastAsia="仿宋"/>
                <w:sz w:val="24"/>
                <w:szCs w:val="22"/>
              </w:rPr>
              <w:t>日</w:t>
            </w:r>
          </w:p>
          <w:p>
            <w:pPr>
              <w:spacing w:line="480" w:lineRule="exact"/>
              <w:ind w:right="280"/>
              <w:jc w:val="center"/>
              <w:rPr>
                <w:rFonts w:hint="eastAsia" w:ascii="仿宋" w:hAnsi="仿宋" w:eastAsia="仿宋"/>
                <w:sz w:val="24"/>
                <w:szCs w:val="22"/>
              </w:rPr>
            </w:pPr>
          </w:p>
        </w:tc>
      </w:tr>
    </w:tbl>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FmZmU0ODhlYTJjNTYzM2UzM2E1N2RhYmE0ZTU2Y2IifQ=="/>
  </w:docVars>
  <w:rsids>
    <w:rsidRoot w:val="00121BBA"/>
    <w:rsid w:val="00092435"/>
    <w:rsid w:val="000F36BE"/>
    <w:rsid w:val="0011618A"/>
    <w:rsid w:val="00121BBA"/>
    <w:rsid w:val="00146E4C"/>
    <w:rsid w:val="001626DC"/>
    <w:rsid w:val="001732E6"/>
    <w:rsid w:val="001B7B9A"/>
    <w:rsid w:val="001F4495"/>
    <w:rsid w:val="001F69C1"/>
    <w:rsid w:val="00200287"/>
    <w:rsid w:val="00244F68"/>
    <w:rsid w:val="00284989"/>
    <w:rsid w:val="002C298D"/>
    <w:rsid w:val="002F6793"/>
    <w:rsid w:val="0031592C"/>
    <w:rsid w:val="003B6457"/>
    <w:rsid w:val="00423AEC"/>
    <w:rsid w:val="0044394A"/>
    <w:rsid w:val="00462AE6"/>
    <w:rsid w:val="00492831"/>
    <w:rsid w:val="004C2E39"/>
    <w:rsid w:val="00506B3F"/>
    <w:rsid w:val="00510BDE"/>
    <w:rsid w:val="00553F3E"/>
    <w:rsid w:val="00596CDB"/>
    <w:rsid w:val="005A1297"/>
    <w:rsid w:val="005B1668"/>
    <w:rsid w:val="00634502"/>
    <w:rsid w:val="00664F92"/>
    <w:rsid w:val="00674E36"/>
    <w:rsid w:val="006A7668"/>
    <w:rsid w:val="006B7657"/>
    <w:rsid w:val="006D42BC"/>
    <w:rsid w:val="006D611B"/>
    <w:rsid w:val="007861C5"/>
    <w:rsid w:val="007B2F25"/>
    <w:rsid w:val="00810940"/>
    <w:rsid w:val="00852326"/>
    <w:rsid w:val="008C1504"/>
    <w:rsid w:val="008C2085"/>
    <w:rsid w:val="008E5A87"/>
    <w:rsid w:val="008F5DE4"/>
    <w:rsid w:val="00A033A0"/>
    <w:rsid w:val="00A156C6"/>
    <w:rsid w:val="00AD5316"/>
    <w:rsid w:val="00B0076D"/>
    <w:rsid w:val="00B1693C"/>
    <w:rsid w:val="00B64054"/>
    <w:rsid w:val="00BA7109"/>
    <w:rsid w:val="00BC252F"/>
    <w:rsid w:val="00BC7224"/>
    <w:rsid w:val="00BF6B53"/>
    <w:rsid w:val="00C12543"/>
    <w:rsid w:val="00C23C72"/>
    <w:rsid w:val="00C5508D"/>
    <w:rsid w:val="00C92165"/>
    <w:rsid w:val="00C9305D"/>
    <w:rsid w:val="00CB34CA"/>
    <w:rsid w:val="00CD5340"/>
    <w:rsid w:val="00CE23EA"/>
    <w:rsid w:val="00D2340C"/>
    <w:rsid w:val="00D334BB"/>
    <w:rsid w:val="00D5150E"/>
    <w:rsid w:val="00D60185"/>
    <w:rsid w:val="00D861D2"/>
    <w:rsid w:val="00DD420E"/>
    <w:rsid w:val="00E60D42"/>
    <w:rsid w:val="00EE3EE0"/>
    <w:rsid w:val="00F21148"/>
    <w:rsid w:val="00F75DBD"/>
    <w:rsid w:val="00FA19C6"/>
    <w:rsid w:val="094B7B50"/>
    <w:rsid w:val="113B11BA"/>
    <w:rsid w:val="2B991C14"/>
    <w:rsid w:val="2C2475FA"/>
    <w:rsid w:val="3BAA0D70"/>
    <w:rsid w:val="47856906"/>
    <w:rsid w:val="49A455B6"/>
    <w:rsid w:val="4C2A5F81"/>
    <w:rsid w:val="5C3556B9"/>
    <w:rsid w:val="6B8B179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7">
    <w:name w:val="Default Paragraph Font"/>
    <w:unhideWhenUsed/>
    <w:uiPriority w:val="1"/>
  </w:style>
  <w:style w:type="table" w:default="1" w:styleId="5">
    <w:name w:val="Normal Table"/>
    <w:unhideWhenUsed/>
    <w:qFormat/>
    <w:uiPriority w:val="99"/>
    <w:tblPr>
      <w:tblStyle w:val="5"/>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3">
    <w:name w:val="header"/>
    <w:basedOn w:val="1"/>
    <w:link w:val="10"/>
    <w:unhideWhenUsed/>
    <w:uiPriority w:val="99"/>
    <w:pPr>
      <w:pBdr>
        <w:bottom w:val="single" w:color="auto" w:sz="6" w:space="1"/>
      </w:pBdr>
      <w:tabs>
        <w:tab w:val="center" w:pos="4153"/>
        <w:tab w:val="right" w:pos="8306"/>
      </w:tabs>
      <w:snapToGrid w:val="0"/>
      <w:jc w:val="center"/>
    </w:pPr>
    <w:rPr>
      <w:rFonts w:ascii="Calibri" w:hAnsi="Calibri" w:eastAsia="宋体" w:cs="Times New Roman"/>
      <w:sz w:val="18"/>
      <w:szCs w:val="18"/>
    </w:rPr>
  </w:style>
  <w:style w:type="paragraph" w:styleId="4">
    <w:name w:val="Normal (Web)"/>
    <w:basedOn w:val="1"/>
    <w:unhideWhenUsed/>
    <w:uiPriority w:val="99"/>
    <w:pPr>
      <w:spacing w:before="100" w:beforeAutospacing="1" w:after="100" w:afterAutospacing="1"/>
      <w:ind w:left="0" w:right="0"/>
      <w:jc w:val="left"/>
    </w:pPr>
    <w:rPr>
      <w:kern w:val="0"/>
      <w:sz w:val="24"/>
      <w:lang w:val="en-US" w:eastAsia="zh-CN" w:bidi="ar"/>
    </w:rPr>
  </w:style>
  <w:style w:type="table" w:styleId="6">
    <w:name w:val="Table Grid"/>
    <w:basedOn w:val="5"/>
    <w:qFormat/>
    <w:uiPriority w:val="39"/>
    <w:tblPr>
      <w:tblStyle w:val="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rPr>
  </w:style>
  <w:style w:type="character" w:customStyle="1" w:styleId="9">
    <w:name w:val="页脚 字符"/>
    <w:link w:val="2"/>
    <w:uiPriority w:val="99"/>
    <w:rPr>
      <w:sz w:val="18"/>
      <w:szCs w:val="18"/>
    </w:rPr>
  </w:style>
  <w:style w:type="character" w:customStyle="1" w:styleId="10">
    <w:name w:val="页眉 字符"/>
    <w:link w:val="3"/>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235</Words>
  <Characters>1341</Characters>
  <Lines>11</Lines>
  <Paragraphs>3</Paragraphs>
  <TotalTime>0</TotalTime>
  <ScaleCrop>false</ScaleCrop>
  <LinksUpToDate>false</LinksUpToDate>
  <CharactersWithSpaces>1573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2024-10-25T08:46:00Z</dcterms:created>
  <dc:creator>夏甜---江西分公司</dc:creator>
  <cp:lastModifiedBy>33718</cp:lastModifiedBy>
  <cp:lastPrinted>2024-10-28T06:56:00Z</cp:lastPrinted>
  <dcterms:modified xsi:type="dcterms:W3CDTF">2024-12-19T02:18:36Z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05EDE4E089244D0C8935D14829C729CD</vt:lpwstr>
  </property>
</Properties>
</file>