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pacing w:val="-4"/>
          <w:sz w:val="52"/>
          <w:lang w:val="en-US" w:eastAsia="zh-CN"/>
        </w:rPr>
      </w:pPr>
      <w:r>
        <w:rPr>
          <w:rFonts w:hint="eastAsia" w:ascii="方正小标宋简体" w:hAnsi="方正小标宋简体" w:eastAsia="方正小标宋简体" w:cs="方正小标宋简体"/>
          <w:b w:val="0"/>
          <w:bCs w:val="0"/>
          <w:spacing w:val="-4"/>
          <w:sz w:val="52"/>
          <w:lang w:val="en-US" w:eastAsia="zh-CN"/>
        </w:rPr>
        <w:t>全省保险业培育弘扬金融文化</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华文中宋" w:hAnsi="华文中宋" w:eastAsia="华文中宋"/>
          <w:sz w:val="32"/>
        </w:rPr>
      </w:pPr>
      <w:r>
        <w:rPr>
          <w:rFonts w:hint="eastAsia" w:ascii="方正小标宋简体" w:hAnsi="方正小标宋简体" w:eastAsia="方正小标宋简体" w:cs="方正小标宋简体"/>
          <w:b w:val="0"/>
          <w:bCs w:val="0"/>
          <w:spacing w:val="-4"/>
          <w:sz w:val="52"/>
          <w:lang w:val="en-US" w:eastAsia="zh-CN"/>
        </w:rPr>
        <w:t>先进集体</w:t>
      </w:r>
      <w:r>
        <w:rPr>
          <w:rFonts w:hint="eastAsia" w:ascii="方正小标宋简体" w:hAnsi="方正小标宋简体" w:eastAsia="方正小标宋简体" w:cs="方正小标宋简体"/>
          <w:b w:val="0"/>
          <w:bCs w:val="0"/>
          <w:spacing w:val="-4"/>
          <w:sz w:val="52"/>
          <w:lang w:eastAsia="zh-CN"/>
        </w:rPr>
        <w:t>申报表</w:t>
      </w:r>
    </w:p>
    <w:p/>
    <w:tbl>
      <w:tblPr>
        <w:tblStyle w:val="3"/>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2443"/>
        <w:gridCol w:w="1346"/>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lang w:val="en-US" w:eastAsia="zh-CN"/>
              </w:rPr>
              <w:t>机构</w:t>
            </w:r>
            <w:r>
              <w:rPr>
                <w:rFonts w:hint="eastAsia" w:ascii="仿宋_GB2312" w:eastAsia="仿宋_GB2312"/>
                <w:sz w:val="30"/>
              </w:rPr>
              <w:t>名称</w:t>
            </w:r>
          </w:p>
        </w:tc>
        <w:tc>
          <w:tcPr>
            <w:tcW w:w="6417" w:type="dxa"/>
            <w:gridSpan w:val="3"/>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信泰人寿保险股份有限公司江西分公司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spacing w:line="440" w:lineRule="exact"/>
              <w:jc w:val="center"/>
              <w:rPr>
                <w:rFonts w:hint="eastAsia" w:ascii="仿宋_GB2312" w:eastAsia="仿宋_GB2312"/>
                <w:sz w:val="30"/>
              </w:rPr>
            </w:pPr>
            <w:r>
              <w:rPr>
                <w:rFonts w:hint="eastAsia" w:ascii="仿宋_GB2312" w:eastAsia="仿宋_GB2312"/>
                <w:sz w:val="30"/>
                <w:lang w:val="en-US" w:eastAsia="zh-CN"/>
              </w:rPr>
              <w:t>联系人</w:t>
            </w:r>
            <w:r>
              <w:rPr>
                <w:rFonts w:hint="eastAsia" w:ascii="仿宋_GB2312" w:eastAsia="仿宋_GB2312"/>
                <w:sz w:val="30"/>
              </w:rPr>
              <w:t>姓名</w:t>
            </w:r>
          </w:p>
        </w:tc>
        <w:tc>
          <w:tcPr>
            <w:tcW w:w="2443"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吴亚静</w:t>
            </w:r>
          </w:p>
        </w:tc>
        <w:tc>
          <w:tcPr>
            <w:tcW w:w="1346" w:type="dxa"/>
            <w:noWrap w:val="0"/>
            <w:vAlign w:val="center"/>
          </w:tcPr>
          <w:p>
            <w:pPr>
              <w:spacing w:line="400" w:lineRule="exact"/>
              <w:jc w:val="center"/>
              <w:rPr>
                <w:rFonts w:hint="eastAsia" w:ascii="仿宋_GB2312" w:eastAsia="仿宋_GB2312"/>
                <w:sz w:val="30"/>
              </w:rPr>
            </w:pPr>
            <w:r>
              <w:rPr>
                <w:rFonts w:hint="eastAsia" w:ascii="仿宋_GB2312" w:eastAsia="仿宋_GB2312"/>
                <w:sz w:val="30"/>
              </w:rPr>
              <w:t>联系电话</w:t>
            </w:r>
          </w:p>
        </w:tc>
        <w:tc>
          <w:tcPr>
            <w:tcW w:w="2628" w:type="dxa"/>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0791-86156077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rPr>
              <w:t>通讯地址</w:t>
            </w:r>
          </w:p>
        </w:tc>
        <w:tc>
          <w:tcPr>
            <w:tcW w:w="6417" w:type="dxa"/>
            <w:gridSpan w:val="3"/>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江西省南昌市红谷滩新区红谷中大道998号绿地中央广场A2栋56楼5601-5609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55" w:hRule="atLeast"/>
        </w:trPr>
        <w:tc>
          <w:tcPr>
            <w:tcW w:w="1620" w:type="dxa"/>
            <w:noWrap w:val="0"/>
            <w:vAlign w:val="center"/>
          </w:tcPr>
          <w:p>
            <w:pPr>
              <w:spacing w:line="480" w:lineRule="exact"/>
              <w:jc w:val="center"/>
              <w:rPr>
                <w:rFonts w:hint="eastAsia" w:ascii="仿宋_GB2312" w:eastAsia="仿宋_GB2312"/>
                <w:sz w:val="30"/>
                <w:lang w:eastAsia="zh-CN"/>
              </w:rPr>
            </w:pPr>
            <w:r>
              <w:rPr>
                <w:rFonts w:hint="eastAsia" w:ascii="仿宋_GB2312" w:eastAsia="仿宋_GB2312"/>
                <w:sz w:val="30"/>
                <w:lang w:eastAsia="zh-CN"/>
              </w:rPr>
              <w:t>事迹材料</w:t>
            </w:r>
          </w:p>
        </w:tc>
        <w:tc>
          <w:tcPr>
            <w:tcW w:w="7194" w:type="dxa"/>
            <w:gridSpan w:val="4"/>
            <w:noWrap w:val="0"/>
            <w:vAlign w:val="center"/>
          </w:tcPr>
          <w:p>
            <w:pPr>
              <w:spacing w:after="0" w:afterLines="0" w:line="240" w:lineRule="auto"/>
              <w:ind w:firstLine="560" w:firstLineChars="200"/>
              <w:jc w:val="both"/>
              <w:rPr>
                <w:rFonts w:hint="eastAsia" w:ascii="仿宋_GB2312" w:hAnsi="仿宋_GB2312" w:eastAsia="仿宋_GB2312" w:cs="仿宋_GB2312"/>
                <w:sz w:val="28"/>
                <w:szCs w:val="28"/>
              </w:rPr>
            </w:pPr>
            <w:r>
              <w:rPr>
                <w:rFonts w:hint="eastAsia" w:ascii="仿宋_GB2312" w:eastAsia="仿宋_GB2312"/>
                <w:sz w:val="28"/>
                <w:szCs w:val="28"/>
                <w:lang w:val="en-US" w:eastAsia="zh-CN"/>
              </w:rPr>
              <w:t>信泰保险江西分公司始终</w:t>
            </w:r>
            <w:r>
              <w:rPr>
                <w:rFonts w:hint="eastAsia" w:ascii="仿宋_GB2312" w:hAnsi="仿宋_GB2312" w:eastAsia="仿宋_GB2312" w:cs="仿宋_GB2312"/>
                <w:sz w:val="28"/>
                <w:szCs w:val="28"/>
              </w:rPr>
              <w:t>坚持以习近平新时代中国特色社会主义思想为指导，坚决贯彻落实</w:t>
            </w:r>
            <w:r>
              <w:rPr>
                <w:rFonts w:hint="eastAsia" w:ascii="仿宋_GB2312" w:hAnsi="仿宋_GB2312" w:eastAsia="仿宋_GB2312" w:cs="仿宋_GB2312"/>
                <w:sz w:val="28"/>
                <w:szCs w:val="28"/>
                <w:lang w:val="en-US" w:eastAsia="zh-CN"/>
              </w:rPr>
              <w:t>国家金融监督管理总局及公司党委的</w:t>
            </w:r>
            <w:r>
              <w:rPr>
                <w:rFonts w:hint="eastAsia" w:ascii="仿宋_GB2312" w:hAnsi="仿宋_GB2312" w:eastAsia="仿宋_GB2312" w:cs="仿宋_GB2312"/>
                <w:sz w:val="28"/>
                <w:szCs w:val="28"/>
              </w:rPr>
              <w:t>决策部署，</w:t>
            </w:r>
            <w:r>
              <w:rPr>
                <w:rFonts w:hint="eastAsia" w:ascii="仿宋_GB2312" w:hAnsi="仿宋_GB2312" w:eastAsia="仿宋_GB2312" w:cs="仿宋_GB2312"/>
                <w:sz w:val="28"/>
                <w:szCs w:val="28"/>
                <w:lang w:val="en-US" w:eastAsia="zh-CN"/>
              </w:rPr>
              <w:t>深入践行“五要五不”</w:t>
            </w:r>
            <w:r>
              <w:rPr>
                <w:rFonts w:hint="eastAsia" w:ascii="仿宋_GB2312" w:hAnsi="仿宋_GB2312" w:eastAsia="仿宋_GB2312" w:cs="仿宋_GB2312"/>
                <w:sz w:val="28"/>
                <w:szCs w:val="28"/>
              </w:rPr>
              <w:t>各项工作。</w:t>
            </w:r>
          </w:p>
          <w:p>
            <w:pPr>
              <w:pStyle w:val="2"/>
              <w:numPr>
                <w:ilvl w:val="0"/>
                <w:numId w:val="1"/>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坚持党建引领，提高政治站位</w:t>
            </w:r>
          </w:p>
          <w:p>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我司始终坚持党建引领，</w:t>
            </w:r>
            <w:r>
              <w:rPr>
                <w:rFonts w:hint="eastAsia" w:ascii="仿宋_GB2312" w:hAnsi="仿宋_GB2312" w:eastAsia="仿宋_GB2312" w:cs="仿宋_GB2312"/>
                <w:sz w:val="28"/>
                <w:szCs w:val="28"/>
              </w:rPr>
              <w:t>坚持以习近平新时代中国特色社会主义思想为指导</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分公司已成立党支部，坚持党建引领公司发展，日常坚持第一议题制度，开展各项理论学习，同时多次召开专项会议学习二十大和二十届三中全会精神及中央金融工作会议精神，覆盖全省内外勤。</w:t>
            </w:r>
          </w:p>
          <w:p>
            <w:pPr>
              <w:pStyle w:val="2"/>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二、坚持合规经营，遵守职业操守</w:t>
            </w:r>
          </w:p>
          <w:p>
            <w:pPr>
              <w:pStyle w:val="2"/>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信泰保险江西分公司始终坚持诚实守信，不逾越底线，在全公司厚植诚信意识，遵守规则和职业操守，诚信执业持续</w:t>
            </w:r>
            <w:r>
              <w:rPr>
                <w:rFonts w:hint="eastAsia" w:ascii="仿宋_GB2312" w:hAnsi="仿宋_GB2312" w:eastAsia="仿宋_GB2312" w:cs="仿宋_GB2312"/>
                <w:sz w:val="28"/>
                <w:szCs w:val="28"/>
                <w:lang w:val="zh-CN" w:eastAsia="zh-CN"/>
              </w:rPr>
              <w:t>健全消保体系，完善消保相关制度，</w:t>
            </w:r>
            <w:r>
              <w:rPr>
                <w:rFonts w:hint="eastAsia" w:ascii="仿宋_GB2312" w:hAnsi="仿宋_GB2312" w:eastAsia="仿宋_GB2312" w:cs="仿宋_GB2312"/>
                <w:sz w:val="28"/>
                <w:szCs w:val="28"/>
                <w:lang w:val="en-US" w:eastAsia="zh-CN"/>
              </w:rPr>
              <w:t>在</w:t>
            </w:r>
            <w:r>
              <w:rPr>
                <w:rFonts w:hint="eastAsia" w:ascii="仿宋_GB2312" w:hAnsi="仿宋_GB2312" w:eastAsia="仿宋_GB2312" w:cs="仿宋_GB2312"/>
                <w:sz w:val="28"/>
                <w:szCs w:val="28"/>
                <w:lang w:val="zh-CN" w:eastAsia="zh-CN"/>
              </w:rPr>
              <w:t>“3.15”消费者权益保护宣传活动</w:t>
            </w:r>
            <w:r>
              <w:rPr>
                <w:rFonts w:hint="eastAsia" w:ascii="仿宋_GB2312" w:hAnsi="仿宋_GB2312" w:eastAsia="仿宋_GB2312" w:cs="仿宋_GB2312"/>
                <w:sz w:val="28"/>
                <w:szCs w:val="28"/>
                <w:lang w:val="en-US" w:eastAsia="zh-CN"/>
              </w:rPr>
              <w:t>中</w:t>
            </w:r>
            <w:r>
              <w:rPr>
                <w:rFonts w:hint="eastAsia" w:ascii="仿宋_GB2312" w:hAnsi="仿宋_GB2312" w:eastAsia="仿宋_GB2312" w:cs="仿宋_GB2312"/>
                <w:sz w:val="28"/>
                <w:szCs w:val="28"/>
                <w:lang w:val="zh-CN" w:eastAsia="zh-CN"/>
              </w:rPr>
              <w:t>，线下五进入活动21次，线上“金融高管讲消保”9次，开展消保审查16次，开展产品与服务营销监测18次，</w:t>
            </w:r>
            <w:r>
              <w:rPr>
                <w:rFonts w:hint="eastAsia" w:ascii="仿宋_GB2312" w:hAnsi="仿宋_GB2312" w:eastAsia="仿宋_GB2312" w:cs="仿宋_GB2312"/>
                <w:sz w:val="28"/>
                <w:szCs w:val="28"/>
                <w:lang w:val="en-US" w:eastAsia="zh-CN"/>
              </w:rPr>
              <w:t>对待客户始终以诚相待，恪守承诺</w:t>
            </w:r>
            <w:r>
              <w:rPr>
                <w:rFonts w:hint="eastAsia" w:ascii="仿宋_GB2312" w:hAnsi="仿宋_GB2312" w:eastAsia="仿宋_GB2312" w:cs="仿宋_GB2312"/>
                <w:sz w:val="28"/>
                <w:szCs w:val="28"/>
                <w:lang w:val="zh-CN" w:eastAsia="zh-CN"/>
              </w:rPr>
              <w:t>。</w:t>
            </w:r>
          </w:p>
          <w:p>
            <w:pPr>
              <w:pStyle w:val="2"/>
              <w:ind w:left="0" w:leftChars="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我司坚持稳健审慎，不急功近利的原则，从2023年开始</w:t>
            </w:r>
            <w:r>
              <w:rPr>
                <w:rFonts w:hint="eastAsia" w:ascii="仿宋_GB2312" w:hAnsi="仿宋_GB2312" w:eastAsia="仿宋_GB2312" w:cs="仿宋_GB2312"/>
                <w:sz w:val="28"/>
                <w:szCs w:val="28"/>
                <w:lang w:val="zh-CN" w:eastAsia="zh-CN"/>
              </w:rPr>
              <w:t>开展合规标准化建设工作，对公司现行制度进行整理，查漏补缺， 从“内外环境、组织与资源、目标与计划、管理机制、合规报告、保障机制及合规文化等”七个维度开展全面自评，共提供证据100多项，梳理制度52件、访谈员工20多人次，审核各类材料100多件，</w:t>
            </w:r>
            <w:r>
              <w:rPr>
                <w:rFonts w:hint="eastAsia" w:ascii="仿宋_GB2312" w:hAnsi="仿宋_GB2312" w:eastAsia="仿宋_GB2312" w:cs="仿宋_GB2312"/>
                <w:sz w:val="28"/>
                <w:szCs w:val="28"/>
                <w:lang w:val="en-US" w:eastAsia="zh-CN"/>
              </w:rPr>
              <w:t>做到</w:t>
            </w:r>
            <w:r>
              <w:rPr>
                <w:rFonts w:hint="eastAsia" w:ascii="仿宋_GB2312" w:hAnsi="仿宋_GB2312" w:eastAsia="仿宋_GB2312" w:cs="仿宋_GB2312"/>
                <w:sz w:val="28"/>
                <w:szCs w:val="28"/>
                <w:lang w:val="zh-CN" w:eastAsia="zh-CN"/>
              </w:rPr>
              <w:t>依法合规，不胡作非为，坚持严格合规经营，依法问责，营造良好的</w:t>
            </w:r>
            <w:r>
              <w:rPr>
                <w:rFonts w:hint="eastAsia" w:ascii="仿宋_GB2312" w:hAnsi="仿宋_GB2312" w:eastAsia="仿宋_GB2312" w:cs="仿宋_GB2312"/>
                <w:sz w:val="28"/>
                <w:szCs w:val="28"/>
                <w:lang w:val="en-US" w:eastAsia="zh-CN"/>
              </w:rPr>
              <w:t>合规</w:t>
            </w:r>
            <w:r>
              <w:rPr>
                <w:rFonts w:hint="eastAsia" w:ascii="仿宋_GB2312" w:hAnsi="仿宋_GB2312" w:eastAsia="仿宋_GB2312" w:cs="仿宋_GB2312"/>
                <w:sz w:val="28"/>
                <w:szCs w:val="28"/>
                <w:lang w:val="zh-CN" w:eastAsia="zh-CN"/>
              </w:rPr>
              <w:t>文化。</w:t>
            </w:r>
          </w:p>
          <w:p>
            <w:pPr>
              <w:pStyle w:val="2"/>
              <w:numPr>
                <w:numId w:val="0"/>
              </w:num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三、开展特色金融文化活动，弘扬特色金融文化精神</w:t>
            </w:r>
          </w:p>
          <w:p>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司在收到保险行业协会《江西银行业保险业培育和弘扬中国特色金融文化实施方案》后，召开专项会议，部署我司活动实施方案，由总经理室成员牵头，组建信泰保险江西分公司中国特色金融文化宣讲团，每次宣讲均由分公司总经理室成员开讲，下到全省各个机构开展中国特色金融文化宣讲，在活动期间共开展宣讲活动6次，覆盖全省内外勤，宣讲内容以中国特色金融文化为主线，辅以“五要五不”精神核心，向全省全体员工详细阐述中国特色金融文化及五要五不”精神内核，使得所有员工受益匪浅。</w:t>
            </w:r>
          </w:p>
          <w:p>
            <w:pPr>
              <w:pStyle w:val="2"/>
              <w:ind w:left="0" w:leftChars="0"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同时我司积极参加行业协会举办的“中国特色金融文化”演讲比赛，总经理室的高度重视本次比赛，前期在分公司开展“中国特色金融文化”演讲初选赛，旨在选取最优秀的选手参加全省复赛，在后续行业协会举办的复赛及决赛中信泰保险江西分公司选手成功入围比赛全省前十强，向全省保险同行展示信泰风貌。同时由总经理室成员带领党员先锋及各后援员工代表组成啦啦队，为公司参赛选手加油鼓气。</w:t>
            </w:r>
          </w:p>
          <w:p>
            <w:pPr>
              <w:pStyle w:val="2"/>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四、参与行业活动，</w:t>
            </w:r>
            <w:r>
              <w:rPr>
                <w:rFonts w:hint="eastAsia" w:ascii="仿宋_GB2312" w:hAnsi="仿宋_GB2312" w:eastAsia="仿宋_GB2312" w:cs="仿宋_GB2312"/>
                <w:kern w:val="2"/>
                <w:sz w:val="28"/>
                <w:szCs w:val="28"/>
                <w:lang w:val="en-US" w:eastAsia="zh-CN" w:bidi="ar-SA"/>
              </w:rPr>
              <w:t>展示信泰品牌形象</w:t>
            </w:r>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司积极响应江西省保险行业协会的号召，参与行业协会各项活动，在近两年78保险宣传日活动中，我司积极参与到各项活动中，组织20余人次参与行业协会组织的献血活动，还通过线上线下多种渠道，积极开展保险知识普及、风险防范宣传等系列活动。</w:t>
            </w:r>
          </w:p>
          <w:p>
            <w:pPr>
              <w:pStyle w:val="2"/>
              <w:ind w:left="0"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2023年，信泰保险江西分公司作为全省八家险企之一，参加江西省保险行业协会、江西广播电视台今视频合作开展的“2023中央驻赣及省直新闻媒体走进江西保险业”采风活动，活动不仅加深了信泰保险江西分公司与媒体的友好关系，同时展示了信泰的品牌形象。</w:t>
            </w:r>
          </w:p>
          <w:p>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五、坚持以义取利，积极承担社会责任</w:t>
            </w:r>
            <w:bookmarkStart w:id="0" w:name="_GoBack"/>
            <w:bookmarkEnd w:id="0"/>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司坚持以人民为中心的价值导向，以义取利，不唯利是图，积极参与到各项社会公益活动中，与省团委、青少年基金会合作“希望工程一元捐”项目，目前希望工程“壹元捐”项目参与人数达到1649人，募捐金额总计11286.84元。同时多次前往敬老院等公益场所开展公益活动，做到“党建引领、党员参与，全员共创，客户共行”，将党建公益爱心活动深入到一线、活动地点不断向外延伸，活动人员不断向外辐射，打造公司公益品牌形象</w:t>
            </w:r>
            <w:r>
              <w:rPr>
                <w:rFonts w:hint="eastAsia" w:ascii="仿宋_GB2312" w:hAnsi="仿宋_GB2312" w:eastAsia="仿宋_GB2312" w:cs="仿宋_GB2312"/>
                <w:sz w:val="28"/>
                <w:szCs w:val="28"/>
                <w:lang w:val="en-US" w:eastAsia="zh-CN"/>
              </w:rPr>
              <w:t>，积极承担社会责任。</w:t>
            </w:r>
          </w:p>
          <w:p>
            <w:pPr>
              <w:pStyle w:val="2"/>
              <w:ind w:left="0" w:leftChars="0" w:firstLine="560" w:firstLineChars="200"/>
              <w:rPr>
                <w:rFonts w:hint="eastAsia" w:ascii="仿宋_GB2312" w:eastAsia="仿宋_GB2312"/>
              </w:rPr>
            </w:pPr>
            <w:r>
              <w:rPr>
                <w:rFonts w:hint="eastAsia" w:ascii="仿宋_GB2312" w:hAnsi="仿宋_GB2312" w:eastAsia="仿宋_GB2312" w:cs="仿宋_GB2312"/>
                <w:kern w:val="2"/>
                <w:sz w:val="28"/>
                <w:szCs w:val="28"/>
                <w:lang w:val="en-US" w:eastAsia="zh-CN" w:bidi="ar-SA"/>
              </w:rPr>
              <w:t>信泰保险江西分公司</w:t>
            </w:r>
            <w:r>
              <w:rPr>
                <w:rFonts w:hint="default" w:ascii="仿宋_GB2312" w:hAnsi="仿宋_GB2312" w:eastAsia="仿宋_GB2312" w:cs="仿宋_GB2312"/>
                <w:kern w:val="2"/>
                <w:sz w:val="28"/>
                <w:szCs w:val="28"/>
                <w:lang w:val="en-US" w:eastAsia="zh-CN" w:bidi="ar-SA"/>
              </w:rPr>
              <w:t>积极践行“五要五不”原则，在合法合规经营、客户服务、创新发展和风险管理等方面都取得了</w:t>
            </w:r>
            <w:r>
              <w:rPr>
                <w:rFonts w:hint="eastAsia" w:ascii="仿宋_GB2312" w:hAnsi="仿宋_GB2312" w:eastAsia="仿宋_GB2312" w:cs="仿宋_GB2312"/>
                <w:kern w:val="2"/>
                <w:sz w:val="28"/>
                <w:szCs w:val="28"/>
                <w:lang w:val="en-US" w:eastAsia="zh-CN" w:bidi="ar-SA"/>
              </w:rPr>
              <w:t>一定</w:t>
            </w:r>
            <w:r>
              <w:rPr>
                <w:rFonts w:hint="default" w:ascii="仿宋_GB2312" w:hAnsi="仿宋_GB2312" w:eastAsia="仿宋_GB2312" w:cs="仿宋_GB2312"/>
                <w:kern w:val="2"/>
                <w:sz w:val="28"/>
                <w:szCs w:val="28"/>
                <w:lang w:val="en-US" w:eastAsia="zh-CN" w:bidi="ar-SA"/>
              </w:rPr>
              <w:t>成效。但我们也清楚地认识到，保险行业环境在不断变化，我们将持续改进和完善自身工作，始终坚守“五要五不”原则，为保险行业的健康发展贡献力量。</w:t>
            </w:r>
          </w:p>
          <w:p>
            <w:pPr>
              <w:pStyle w:val="2"/>
              <w:rPr>
                <w:rFonts w:hint="eastAsia" w:ascii="仿宋_GB2312" w:eastAsia="仿宋_GB2312"/>
              </w:rPr>
            </w:pPr>
          </w:p>
          <w:p>
            <w:pPr>
              <w:rPr>
                <w:rFonts w:hint="eastAsia" w:ascii="仿宋_GB2312" w:eastAsia="仿宋_GB2312"/>
              </w:rPr>
            </w:pPr>
          </w:p>
          <w:p>
            <w:pPr>
              <w:pStyle w:val="2"/>
              <w:rPr>
                <w:rFonts w:hint="eastAsia" w:ascii="仿宋_GB2312" w:eastAsia="仿宋_GB2312"/>
              </w:rPr>
            </w:pPr>
          </w:p>
          <w:p>
            <w:pPr>
              <w:rPr>
                <w:rFonts w:hint="eastAsia"/>
              </w:rPr>
            </w:pPr>
          </w:p>
          <w:p>
            <w:pPr>
              <w:rPr>
                <w:rFonts w:hint="eastAsia" w:ascii="仿宋_GB2312" w:eastAsia="仿宋_GB2312"/>
              </w:rPr>
            </w:pPr>
          </w:p>
          <w:p>
            <w:pPr>
              <w:rPr>
                <w:rFonts w:hint="default"/>
                <w:lang w:val="en-US" w:eastAsia="zh-CN"/>
              </w:rPr>
            </w:pPr>
            <w:r>
              <w:rPr>
                <w:rFonts w:hint="eastAsia" w:ascii="仿宋_GB2312" w:eastAsia="仿宋_GB2312"/>
                <w:lang w:val="en-US" w:eastAsia="zh-CN"/>
              </w:rPr>
              <w:t xml:space="preserve">                                              </w:t>
            </w:r>
            <w:r>
              <w:rPr>
                <w:rFonts w:hint="eastAsia" w:ascii="仿宋_GB2312" w:hAnsi="仿宋_GB2312" w:eastAsia="仿宋_GB2312" w:cs="仿宋_GB2312"/>
                <w:sz w:val="28"/>
                <w:szCs w:val="28"/>
                <w:lang w:val="en-US" w:eastAsia="zh-CN"/>
              </w:rPr>
              <w:t>2024</w:t>
            </w:r>
            <w:r>
              <w:rPr>
                <w:rFonts w:hint="eastAsia" w:ascii="仿宋_GB2312" w:hAnsi="仿宋_GB2312" w:eastAsia="仿宋_GB2312" w:cs="仿宋_GB2312"/>
                <w:sz w:val="28"/>
                <w:szCs w:val="28"/>
                <w:lang w:eastAsia="zh-CN"/>
              </w:rPr>
              <w:t>年</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lang w:val="en-US" w:eastAsia="zh-CN"/>
              </w:rPr>
              <w:t>17</w:t>
            </w:r>
            <w:r>
              <w:rPr>
                <w:rFonts w:hint="eastAsia" w:ascii="仿宋_GB2312" w:hAnsi="仿宋_GB2312" w:eastAsia="仿宋_GB2312" w:cs="仿宋_GB2312"/>
                <w:sz w:val="28"/>
                <w:szCs w:val="28"/>
                <w:lang w:eastAsia="zh-CN"/>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仿宋_GB2312"/>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B705DB"/>
    <w:multiLevelType w:val="singleLevel"/>
    <w:tmpl w:val="40B705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D74663"/>
    <w:rsid w:val="1B811695"/>
    <w:rsid w:val="3C8541D9"/>
    <w:rsid w:val="41B01BF0"/>
    <w:rsid w:val="46C2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firstLineChars="0"/>
      <w:jc w:val="left"/>
    </w:pPr>
    <w:rPr>
      <w:rFonts w:ascii="宋体" w:hAnsi="Calibri" w:eastAsia="宋体" w:cs="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2024-10-31T09:19:00Z</dcterms:created>
  <dc:creator>taoyang</dc:creator>
  <cp:lastModifiedBy>taoyang</cp:lastModifiedBy>
  <cp:lastPrinted>2024-12-17T09:42:14Z</cp:lastPrinted>
  <dcterms:modified xsi:type="dcterms:W3CDTF">2024-12-17T10:09:57Z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F2D9AAC420D04FF9935153F72E284C36</vt:lpwstr>
  </property>
</Properties>
</file>