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rPr>
      </w:pPr>
      <w:r>
        <w:rPr>
          <w:rFonts w:hint="eastAsia" w:ascii="黑体" w:hAnsi="黑体" w:eastAsia="黑体" w:cs="黑体"/>
          <w:sz w:val="32"/>
        </w:rPr>
        <w:t>附件1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pacing w:val="-4"/>
          <w:sz w:val="44"/>
          <w:szCs w:val="44"/>
          <w:lang w:val="en-US" w:eastAsia="zh-CN"/>
        </w:rPr>
      </w:pPr>
      <w:r>
        <w:rPr>
          <w:rFonts w:hint="eastAsia" w:ascii="方正小标宋简体" w:hAnsi="方正小标宋简体" w:eastAsia="方正小标宋简体" w:cs="方正小标宋简体"/>
          <w:b w:val="0"/>
          <w:bCs w:val="0"/>
          <w:spacing w:val="-4"/>
          <w:sz w:val="44"/>
          <w:szCs w:val="44"/>
          <w:lang w:val="en-US" w:eastAsia="zh-CN"/>
        </w:rPr>
        <w:t>全省保险业培育弘扬金融文化</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sz w:val="44"/>
          <w:szCs w:val="44"/>
        </w:rPr>
      </w:pPr>
      <w:r>
        <w:rPr>
          <w:rFonts w:hint="eastAsia" w:ascii="方正小标宋简体" w:hAnsi="方正小标宋简体" w:eastAsia="方正小标宋简体" w:cs="方正小标宋简体"/>
          <w:b w:val="0"/>
          <w:bCs w:val="0"/>
          <w:spacing w:val="-4"/>
          <w:sz w:val="44"/>
          <w:szCs w:val="44"/>
          <w:lang w:val="en-US" w:eastAsia="zh-CN"/>
        </w:rPr>
        <w:t>先进集体</w:t>
      </w:r>
      <w:r>
        <w:rPr>
          <w:rFonts w:hint="eastAsia" w:ascii="方正小标宋简体" w:hAnsi="方正小标宋简体" w:eastAsia="方正小标宋简体" w:cs="方正小标宋简体"/>
          <w:b w:val="0"/>
          <w:bCs w:val="0"/>
          <w:spacing w:val="-4"/>
          <w:sz w:val="44"/>
          <w:szCs w:val="44"/>
          <w:lang w:eastAsia="zh-CN"/>
        </w:rPr>
        <w:t>申报表</w:t>
      </w:r>
    </w:p>
    <w:p/>
    <w:tbl>
      <w:tblPr>
        <w:tblStyle w:val="7"/>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2042"/>
        <w:gridCol w:w="2250"/>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6"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lang w:val="en-US" w:eastAsia="zh-CN"/>
              </w:rPr>
              <w:t>机构</w:t>
            </w:r>
            <w:r>
              <w:rPr>
                <w:rFonts w:hint="eastAsia" w:ascii="仿宋_GB2312" w:eastAsia="仿宋_GB2312"/>
                <w:sz w:val="30"/>
              </w:rPr>
              <w:t>名称</w:t>
            </w:r>
          </w:p>
        </w:tc>
        <w:tc>
          <w:tcPr>
            <w:tcW w:w="6417" w:type="dxa"/>
            <w:gridSpan w:val="3"/>
            <w:noWrap w:val="0"/>
            <w:vAlign w:val="center"/>
          </w:tcPr>
          <w:p>
            <w:pPr>
              <w:jc w:val="center"/>
              <w:rPr>
                <w:rFonts w:hint="eastAsia" w:ascii="仿宋_GB2312" w:eastAsia="仿宋_GB2312"/>
                <w:sz w:val="30"/>
                <w:lang w:eastAsia="zh-CN"/>
              </w:rPr>
            </w:pPr>
            <w:r>
              <w:rPr>
                <w:rFonts w:hint="eastAsia" w:ascii="仿宋_GB2312" w:eastAsia="仿宋_GB2312"/>
                <w:sz w:val="28"/>
                <w:szCs w:val="28"/>
                <w:lang w:eastAsia="zh-CN"/>
              </w:rPr>
              <w:t>中国人寿财产保险股份有限公司赣州市中心支公司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9" w:hRule="atLeast"/>
        </w:trPr>
        <w:tc>
          <w:tcPr>
            <w:tcW w:w="2397" w:type="dxa"/>
            <w:gridSpan w:val="2"/>
            <w:noWrap w:val="0"/>
            <w:vAlign w:val="center"/>
          </w:tcPr>
          <w:p>
            <w:pPr>
              <w:spacing w:line="440" w:lineRule="exact"/>
              <w:jc w:val="center"/>
              <w:rPr>
                <w:rFonts w:hint="eastAsia" w:ascii="仿宋_GB2312" w:eastAsia="仿宋_GB2312"/>
                <w:sz w:val="30"/>
              </w:rPr>
            </w:pPr>
            <w:r>
              <w:rPr>
                <w:rFonts w:hint="eastAsia" w:ascii="仿宋_GB2312" w:eastAsia="仿宋_GB2312"/>
                <w:sz w:val="30"/>
                <w:lang w:val="en-US" w:eastAsia="zh-CN"/>
              </w:rPr>
              <w:t>联系人</w:t>
            </w:r>
            <w:r>
              <w:rPr>
                <w:rFonts w:hint="eastAsia" w:ascii="仿宋_GB2312" w:eastAsia="仿宋_GB2312"/>
                <w:sz w:val="30"/>
              </w:rPr>
              <w:t>姓名</w:t>
            </w:r>
          </w:p>
        </w:tc>
        <w:tc>
          <w:tcPr>
            <w:tcW w:w="2042" w:type="dxa"/>
            <w:noWrap w:val="0"/>
            <w:vAlign w:val="center"/>
          </w:tcPr>
          <w:p>
            <w:pPr>
              <w:jc w:val="center"/>
              <w:rPr>
                <w:rFonts w:hint="eastAsia" w:ascii="仿宋_GB2312" w:eastAsia="仿宋_GB2312"/>
                <w:sz w:val="30"/>
                <w:lang w:eastAsia="zh-CN"/>
              </w:rPr>
            </w:pPr>
            <w:r>
              <w:rPr>
                <w:rFonts w:hint="eastAsia" w:ascii="仿宋_GB2312" w:eastAsia="仿宋_GB2312"/>
                <w:sz w:val="28"/>
                <w:szCs w:val="28"/>
                <w:lang w:eastAsia="zh-CN"/>
              </w:rPr>
              <w:t>吉玉琴</w:t>
            </w:r>
            <w:bookmarkStart w:id="0" w:name="_GoBack"/>
            <w:bookmarkEnd w:id="0"/>
          </w:p>
        </w:tc>
        <w:tc>
          <w:tcPr>
            <w:tcW w:w="2250" w:type="dxa"/>
            <w:noWrap w:val="0"/>
            <w:vAlign w:val="center"/>
          </w:tcPr>
          <w:p>
            <w:pPr>
              <w:spacing w:line="400" w:lineRule="exact"/>
              <w:jc w:val="center"/>
              <w:rPr>
                <w:rFonts w:hint="eastAsia" w:ascii="仿宋_GB2312" w:eastAsia="仿宋_GB2312"/>
                <w:sz w:val="30"/>
              </w:rPr>
            </w:pPr>
            <w:r>
              <w:rPr>
                <w:rFonts w:hint="eastAsia" w:ascii="仿宋_GB2312" w:eastAsia="仿宋_GB2312"/>
                <w:sz w:val="30"/>
              </w:rPr>
              <w:t>联系电话</w:t>
            </w:r>
          </w:p>
        </w:tc>
        <w:tc>
          <w:tcPr>
            <w:tcW w:w="2125" w:type="dxa"/>
            <w:noWrap w:val="0"/>
            <w:vAlign w:val="center"/>
          </w:tcPr>
          <w:p>
            <w:pPr>
              <w:jc w:val="center"/>
              <w:rPr>
                <w:rFonts w:hint="default" w:ascii="仿宋_GB2312" w:eastAsia="仿宋_GB2312"/>
                <w:sz w:val="30"/>
                <w:lang w:val="en-US" w:eastAsia="zh-CN"/>
              </w:rPr>
            </w:pPr>
            <w:r>
              <w:rPr>
                <w:rFonts w:hint="eastAsia" w:ascii="仿宋_GB2312" w:eastAsia="仿宋_GB2312"/>
                <w:sz w:val="28"/>
                <w:szCs w:val="28"/>
                <w:lang w:val="en-US" w:eastAsia="zh-CN"/>
              </w:rPr>
              <w:t>0797-8175489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8"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rPr>
              <w:t>通讯地址</w:t>
            </w:r>
          </w:p>
        </w:tc>
        <w:tc>
          <w:tcPr>
            <w:tcW w:w="641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sz w:val="30"/>
                <w:lang w:val="en-US" w:eastAsia="zh-CN"/>
              </w:rPr>
            </w:pPr>
            <w:r>
              <w:rPr>
                <w:rFonts w:hint="eastAsia" w:ascii="仿宋_GB2312" w:eastAsia="仿宋_GB2312"/>
                <w:sz w:val="28"/>
                <w:szCs w:val="28"/>
                <w:lang w:val="en-US" w:eastAsia="zh-CN"/>
              </w:rPr>
              <w:t>江西省赣州市章贡区新赣州大道1号中创国际1号楼30楼综合管理部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95" w:hRule="atLeast"/>
        </w:trPr>
        <w:tc>
          <w:tcPr>
            <w:tcW w:w="1620" w:type="dxa"/>
            <w:noWrap w:val="0"/>
            <w:vAlign w:val="center"/>
          </w:tcPr>
          <w:p>
            <w:pPr>
              <w:spacing w:line="480" w:lineRule="exact"/>
              <w:jc w:val="center"/>
              <w:rPr>
                <w:rFonts w:hint="eastAsia" w:ascii="仿宋_GB2312" w:eastAsia="仿宋_GB2312"/>
                <w:sz w:val="30"/>
                <w:lang w:eastAsia="zh-CN"/>
              </w:rPr>
            </w:pPr>
            <w:r>
              <w:rPr>
                <w:rFonts w:hint="eastAsia" w:ascii="仿宋_GB2312" w:eastAsia="仿宋_GB2312"/>
                <w:sz w:val="30"/>
                <w:lang w:eastAsia="zh-CN"/>
              </w:rPr>
              <w:t>事迹材料</w:t>
            </w:r>
          </w:p>
        </w:tc>
        <w:tc>
          <w:tcPr>
            <w:tcW w:w="7194"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作为金融央企驻赣机构，中国人寿财险赣州市中心支公司在赣州市委市政府和监管部门的正确指导下，认真贯彻</w:t>
            </w:r>
            <w:r>
              <w:rPr>
                <w:rFonts w:hint="eastAsia" w:ascii="仿宋_GB2312" w:eastAsia="仿宋_GB2312" w:cs="Times New Roman"/>
                <w:sz w:val="24"/>
                <w:szCs w:val="24"/>
                <w:lang w:val="en-US" w:eastAsia="zh-CN"/>
              </w:rPr>
              <w:t>落实</w:t>
            </w:r>
            <w:r>
              <w:rPr>
                <w:rFonts w:hint="eastAsia" w:ascii="仿宋_GB2312" w:hAnsi="Times New Roman" w:eastAsia="仿宋_GB2312" w:cs="Times New Roman"/>
                <w:sz w:val="24"/>
                <w:szCs w:val="24"/>
                <w:lang w:val="en-US" w:eastAsia="zh-CN"/>
              </w:rPr>
              <w:t>习近平总书记关于金融工作的重要论述，坚持诚实守信、以义取利、稳健审慎、守正创新、依法合规，着力做好金融“五篇大文章”，不断提升保险保障能力和服务水平，全力支持赣州经济社会高质量发展。</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_GB2312" w:hAnsi="Times New Roman" w:eastAsia="仿宋_GB2312" w:cs="Times New Roman"/>
                <w:color w:val="auto"/>
                <w:kern w:val="2"/>
                <w:sz w:val="24"/>
                <w:szCs w:val="24"/>
                <w:lang w:val="en-US" w:eastAsia="zh-CN" w:bidi="ar-SA"/>
              </w:rPr>
            </w:pPr>
            <w:r>
              <w:rPr>
                <w:rFonts w:hint="eastAsia" w:ascii="仿宋_GB2312" w:hAnsi="Times New Roman" w:eastAsia="仿宋_GB2312" w:cs="Times New Roman"/>
                <w:b/>
                <w:bCs/>
                <w:sz w:val="24"/>
                <w:szCs w:val="24"/>
                <w:lang w:val="en-US" w:eastAsia="zh-CN"/>
              </w:rPr>
              <w:t>诚实守信，弘扬诚信经营理念。</w:t>
            </w:r>
            <w:r>
              <w:rPr>
                <w:rFonts w:hint="eastAsia" w:ascii="仿宋_GB2312" w:hAnsi="Times New Roman" w:eastAsia="仿宋_GB2312" w:cs="Times New Roman"/>
                <w:color w:val="auto"/>
                <w:kern w:val="2"/>
                <w:sz w:val="24"/>
                <w:szCs w:val="24"/>
                <w:lang w:val="en-US" w:eastAsia="zh-CN" w:bidi="ar-SA"/>
              </w:rPr>
              <w:t>自2008年成立以来，公司始终将诚实守信融入业务经营的全流程，引导员工弘扬诚信文化，树立正确的经营观、业绩观和风险观，用实际行动践行“成人达己 成己为人”的企业文化。2023年来，公司累计为186万客户提供各类风险保障超2.22万亿元，处理各类赔案33.92万件，支付赔款8.32亿元，充分发挥了保险作为经济“减震器”和社会“稳定器”</w:t>
            </w:r>
            <w:r>
              <w:rPr>
                <w:rFonts w:hint="eastAsia" w:ascii="仿宋_GB2312" w:eastAsia="仿宋_GB2312" w:cs="Times New Roman"/>
                <w:color w:val="auto"/>
                <w:kern w:val="2"/>
                <w:sz w:val="24"/>
                <w:szCs w:val="24"/>
                <w:lang w:val="en-US" w:eastAsia="zh-CN" w:bidi="ar-SA"/>
              </w:rPr>
              <w:t>的</w:t>
            </w:r>
            <w:r>
              <w:rPr>
                <w:rFonts w:hint="eastAsia" w:ascii="仿宋_GB2312" w:hAnsi="Times New Roman" w:eastAsia="仿宋_GB2312" w:cs="Times New Roman"/>
                <w:color w:val="auto"/>
                <w:kern w:val="2"/>
                <w:sz w:val="24"/>
                <w:szCs w:val="24"/>
                <w:lang w:val="en-US" w:eastAsia="zh-CN" w:bidi="ar-SA"/>
              </w:rPr>
              <w:t>作用。</w:t>
            </w:r>
            <w:r>
              <w:rPr>
                <w:rFonts w:hint="eastAsia" w:ascii="仿宋_GB2312" w:hAnsi="Times New Roman" w:eastAsia="仿宋_GB2312" w:cs="Times New Roman"/>
                <w:sz w:val="24"/>
                <w:szCs w:val="24"/>
                <w:lang w:val="en-US" w:eastAsia="zh-CN"/>
              </w:rPr>
              <w:t>公司获评赣州市普惠金融改革试验区建设</w:t>
            </w:r>
            <w:r>
              <w:rPr>
                <w:rFonts w:hint="eastAsia" w:ascii="仿宋_GB2312" w:eastAsia="仿宋_GB2312" w:cs="Times New Roman"/>
                <w:sz w:val="24"/>
                <w:szCs w:val="24"/>
                <w:lang w:val="en-US" w:eastAsia="zh-CN"/>
              </w:rPr>
              <w:t>2022年度、2023年度</w:t>
            </w:r>
            <w:r>
              <w:rPr>
                <w:rFonts w:hint="eastAsia" w:ascii="仿宋_GB2312" w:hAnsi="Times New Roman" w:eastAsia="仿宋_GB2312" w:cs="Times New Roman"/>
                <w:sz w:val="24"/>
                <w:szCs w:val="24"/>
                <w:lang w:val="en-US" w:eastAsia="zh-CN"/>
              </w:rPr>
              <w:t>工作考核评估保险机构“优秀”等级</w:t>
            </w:r>
            <w:r>
              <w:rPr>
                <w:rFonts w:hint="eastAsia" w:ascii="仿宋_GB2312" w:eastAsia="仿宋_GB2312" w:cs="Times New Roman"/>
                <w:sz w:val="24"/>
                <w:szCs w:val="24"/>
                <w:lang w:val="en-US" w:eastAsia="zh-CN"/>
              </w:rPr>
              <w:t>，2023年荣获</w:t>
            </w:r>
            <w:r>
              <w:rPr>
                <w:rFonts w:hint="eastAsia" w:ascii="仿宋_GB2312" w:hAnsi="Times New Roman" w:eastAsia="仿宋_GB2312" w:cs="Times New Roman"/>
                <w:sz w:val="24"/>
                <w:szCs w:val="24"/>
                <w:lang w:val="en-US" w:eastAsia="zh-CN"/>
              </w:rPr>
              <w:t>赣州金融系统“作示范 勇争先”先进集体。</w:t>
            </w:r>
          </w:p>
          <w:p>
            <w:pPr>
              <w:pStyle w:val="9"/>
              <w:keepNext w:val="0"/>
              <w:keepLines w:val="0"/>
              <w:pageBreakBefore w:val="0"/>
              <w:widowControl w:val="0"/>
              <w:kinsoku/>
              <w:wordWrap/>
              <w:overflowPunct/>
              <w:topLinePunct w:val="0"/>
              <w:autoSpaceDE w:val="0"/>
              <w:autoSpaceDN w:val="0"/>
              <w:bidi w:val="0"/>
              <w:adjustRightInd w:val="0"/>
              <w:snapToGrid/>
              <w:spacing w:line="440" w:lineRule="exact"/>
              <w:ind w:firstLine="482" w:firstLineChars="200"/>
              <w:jc w:val="both"/>
              <w:textAlignment w:val="auto"/>
              <w:rPr>
                <w:rFonts w:hint="eastAsia" w:ascii="仿宋_GB2312" w:hAnsi="仿宋_GB2312" w:eastAsia="仿宋_GB2312"/>
                <w:sz w:val="24"/>
                <w:szCs w:val="24"/>
                <w:lang w:eastAsia="zh-CN"/>
              </w:rPr>
            </w:pPr>
            <w:r>
              <w:rPr>
                <w:rFonts w:hint="eastAsia" w:ascii="仿宋_GB2312" w:hAnsi="Times New Roman" w:eastAsia="仿宋_GB2312" w:cs="Times New Roman"/>
                <w:b/>
                <w:bCs/>
                <w:sz w:val="24"/>
                <w:szCs w:val="24"/>
                <w:lang w:val="en-US" w:eastAsia="zh-CN"/>
              </w:rPr>
              <w:t>以义取利，践行央企使命担当。</w:t>
            </w:r>
            <w:r>
              <w:rPr>
                <w:rFonts w:hint="eastAsia" w:ascii="仿宋_GB2312" w:hAnsi="仿宋_GB2312" w:eastAsia="仿宋_GB2312"/>
                <w:b w:val="0"/>
                <w:bCs w:val="0"/>
                <w:color w:val="000000"/>
                <w:sz w:val="24"/>
                <w:szCs w:val="24"/>
              </w:rPr>
              <w:t>主动融入社会治理大格局</w:t>
            </w:r>
            <w:r>
              <w:rPr>
                <w:rFonts w:hint="eastAsia" w:ascii="仿宋_GB2312" w:hAnsi="仿宋_GB2312" w:eastAsia="仿宋_GB2312"/>
                <w:b w:val="0"/>
                <w:bCs w:val="0"/>
                <w:color w:val="000000"/>
                <w:sz w:val="24"/>
                <w:szCs w:val="24"/>
                <w:lang w:eastAsia="zh-CN"/>
              </w:rPr>
              <w:t>，</w:t>
            </w:r>
            <w:r>
              <w:rPr>
                <w:rFonts w:hint="eastAsia" w:ascii="仿宋_GB2312" w:hAnsi="仿宋_GB2312" w:eastAsia="仿宋_GB2312"/>
                <w:color w:val="000000"/>
                <w:sz w:val="24"/>
                <w:szCs w:val="24"/>
              </w:rPr>
              <w:t>积极配合做好兜底性、基础性、普惠性民生保障</w:t>
            </w:r>
            <w:r>
              <w:rPr>
                <w:rFonts w:hint="eastAsia" w:ascii="仿宋_GB2312" w:hAnsi="仿宋_GB2312" w:eastAsia="仿宋_GB2312"/>
                <w:color w:val="000000"/>
                <w:sz w:val="24"/>
                <w:szCs w:val="24"/>
                <w:lang w:eastAsia="zh-CN"/>
              </w:rPr>
              <w:t>工作，公司承保的</w:t>
            </w:r>
            <w:r>
              <w:rPr>
                <w:rFonts w:hint="eastAsia" w:ascii="仿宋_GB2312" w:hAnsi="仿宋_GB2312" w:eastAsia="仿宋_GB2312"/>
                <w:color w:val="000000"/>
                <w:sz w:val="24"/>
                <w:szCs w:val="24"/>
              </w:rPr>
              <w:t>城乡居民大病保险</w:t>
            </w:r>
            <w:r>
              <w:rPr>
                <w:rFonts w:hint="eastAsia" w:ascii="仿宋_GB2312" w:hAnsi="仿宋_GB2312" w:eastAsia="仿宋_GB2312"/>
                <w:color w:val="000000"/>
                <w:sz w:val="24"/>
                <w:szCs w:val="24"/>
                <w:lang w:eastAsia="zh-CN"/>
              </w:rPr>
              <w:t>、防返贫保险、“赣州惠民保”等民生类保险覆盖超百万</w:t>
            </w:r>
            <w:r>
              <w:rPr>
                <w:rFonts w:hint="eastAsia" w:ascii="仿宋_GB2312" w:hAnsi="仿宋_GB2312" w:eastAsia="仿宋_GB2312"/>
                <w:color w:val="000000"/>
                <w:sz w:val="24"/>
                <w:szCs w:val="24"/>
                <w:lang w:val="en-US" w:eastAsia="zh-CN"/>
              </w:rPr>
              <w:t>人</w:t>
            </w:r>
            <w:r>
              <w:rPr>
                <w:rFonts w:hint="eastAsia" w:ascii="仿宋_GB2312" w:hAnsi="仿宋_GB2312" w:eastAsia="仿宋_GB2312"/>
                <w:color w:val="000000"/>
                <w:sz w:val="24"/>
                <w:szCs w:val="24"/>
              </w:rPr>
              <w:t>。</w:t>
            </w:r>
            <w:r>
              <w:rPr>
                <w:rFonts w:hint="eastAsia" w:ascii="仿宋_GB2312" w:hAnsi="Times New Roman" w:eastAsia="仿宋_GB2312" w:cs="Times New Roman"/>
                <w:color w:val="auto"/>
                <w:kern w:val="2"/>
                <w:sz w:val="24"/>
                <w:szCs w:val="24"/>
                <w:lang w:val="en-US" w:eastAsia="zh-CN" w:bidi="ar-SA"/>
              </w:rPr>
              <w:t>主动落实实体经济减负要求，公司开办</w:t>
            </w:r>
            <w:r>
              <w:rPr>
                <w:rFonts w:hint="eastAsia" w:ascii="仿宋_GB2312" w:hAnsi="仿宋_GB2312" w:eastAsia="仿宋_GB2312"/>
                <w:kern w:val="2"/>
                <w:sz w:val="24"/>
                <w:szCs w:val="24"/>
              </w:rPr>
              <w:t>农民工工资支付履约保证保险</w:t>
            </w:r>
            <w:r>
              <w:rPr>
                <w:rFonts w:hint="eastAsia" w:ascii="仿宋_GB2312" w:hAnsi="仿宋_GB2312" w:eastAsia="仿宋_GB2312"/>
                <w:kern w:val="2"/>
                <w:sz w:val="24"/>
                <w:szCs w:val="24"/>
                <w:lang w:eastAsia="zh-CN"/>
              </w:rPr>
              <w:t>，有效减轻了建筑企业的保证金压力。</w:t>
            </w:r>
            <w:r>
              <w:rPr>
                <w:rFonts w:hint="eastAsia" w:ascii="仿宋_GB2312" w:hAnsi="仿宋_GB2312" w:eastAsia="仿宋_GB2312"/>
                <w:kern w:val="2"/>
                <w:sz w:val="24"/>
                <w:szCs w:val="24"/>
              </w:rPr>
              <w:t>202</w:t>
            </w:r>
            <w:r>
              <w:rPr>
                <w:rFonts w:hint="eastAsia" w:ascii="仿宋_GB2312" w:hAnsi="仿宋_GB2312" w:eastAsia="仿宋_GB2312"/>
                <w:kern w:val="2"/>
                <w:sz w:val="24"/>
                <w:szCs w:val="24"/>
                <w:lang w:val="en-US" w:eastAsia="zh-CN"/>
              </w:rPr>
              <w:t>3</w:t>
            </w:r>
            <w:r>
              <w:rPr>
                <w:rFonts w:hint="eastAsia" w:ascii="仿宋_GB2312" w:hAnsi="仿宋_GB2312" w:eastAsia="仿宋_GB2312"/>
                <w:kern w:val="2"/>
                <w:sz w:val="24"/>
                <w:szCs w:val="24"/>
              </w:rPr>
              <w:t>年</w:t>
            </w:r>
            <w:r>
              <w:rPr>
                <w:rFonts w:hint="eastAsia" w:ascii="仿宋_GB2312" w:hAnsi="仿宋_GB2312" w:eastAsia="仿宋_GB2312"/>
                <w:kern w:val="2"/>
                <w:sz w:val="24"/>
                <w:szCs w:val="24"/>
                <w:lang w:eastAsia="zh-CN"/>
              </w:rPr>
              <w:t>来</w:t>
            </w:r>
            <w:r>
              <w:rPr>
                <w:rFonts w:hint="eastAsia" w:ascii="仿宋_GB2312" w:hAnsi="仿宋_GB2312" w:eastAsia="仿宋_GB2312"/>
                <w:kern w:val="2"/>
                <w:sz w:val="24"/>
                <w:szCs w:val="24"/>
              </w:rPr>
              <w:t>，公司为农民工提供工资保障</w:t>
            </w:r>
            <w:r>
              <w:rPr>
                <w:rFonts w:hint="eastAsia" w:ascii="仿宋_GB2312" w:hAnsi="仿宋_GB2312" w:eastAsia="仿宋_GB2312" w:cs="Times New Roman"/>
                <w:kern w:val="2"/>
                <w:sz w:val="24"/>
                <w:szCs w:val="24"/>
                <w:highlight w:val="none"/>
                <w:lang w:val="en-US" w:eastAsia="zh-CN"/>
              </w:rPr>
              <w:t>6</w:t>
            </w:r>
            <w:r>
              <w:rPr>
                <w:rFonts w:hint="eastAsia" w:ascii="仿宋_GB2312" w:hAnsi="仿宋_GB2312" w:eastAsia="仿宋_GB2312" w:cs="仿宋_GB2312"/>
                <w:sz w:val="24"/>
                <w:szCs w:val="24"/>
                <w:highlight w:val="none"/>
              </w:rPr>
              <w:t>亿</w:t>
            </w:r>
            <w:r>
              <w:rPr>
                <w:rFonts w:hint="eastAsia" w:ascii="仿宋_GB2312" w:hAnsi="仿宋_GB2312" w:eastAsia="仿宋_GB2312" w:cs="仿宋_GB2312"/>
                <w:sz w:val="24"/>
                <w:szCs w:val="24"/>
                <w:highlight w:val="none"/>
                <w:lang w:eastAsia="zh-CN"/>
              </w:rPr>
              <w:t>余元，</w:t>
            </w:r>
            <w:r>
              <w:rPr>
                <w:rFonts w:hint="eastAsia" w:ascii="仿宋_GB2312" w:hAnsi="仿宋_GB2312" w:eastAsia="仿宋_GB2312" w:cs="仿宋_GB2312"/>
                <w:sz w:val="24"/>
                <w:szCs w:val="24"/>
                <w:highlight w:val="none"/>
                <w:lang w:val="en-US" w:eastAsia="zh-CN"/>
              </w:rPr>
              <w:t>企业资金效用放大30多倍</w:t>
            </w:r>
            <w:r>
              <w:rPr>
                <w:rFonts w:hint="eastAsia" w:ascii="仿宋_GB2312" w:hAnsi="仿宋_GB2312" w:eastAsia="仿宋_GB2312"/>
                <w:kern w:val="2"/>
                <w:sz w:val="24"/>
                <w:szCs w:val="24"/>
                <w:lang w:eastAsia="zh-CN"/>
              </w:rPr>
              <w:t>，</w:t>
            </w:r>
            <w:r>
              <w:rPr>
                <w:rFonts w:hint="eastAsia" w:ascii="仿宋_GB2312" w:hAnsi="Times New Roman" w:eastAsia="仿宋_GB2312" w:cs="Times New Roman"/>
                <w:color w:val="auto"/>
                <w:kern w:val="2"/>
                <w:sz w:val="24"/>
                <w:szCs w:val="24"/>
                <w:lang w:val="en-US" w:eastAsia="zh-CN" w:bidi="ar-SA"/>
              </w:rPr>
              <w:t>多次化解农民工工资拖欠风险，有效了避免舆情和信访风险升级。主动助力</w:t>
            </w:r>
            <w:r>
              <w:rPr>
                <w:rFonts w:hint="eastAsia" w:ascii="仿宋_GB2312" w:hAnsi="仿宋_GB2312" w:eastAsia="仿宋_GB2312"/>
                <w:sz w:val="24"/>
                <w:szCs w:val="24"/>
              </w:rPr>
              <w:t>地方农业发展，</w:t>
            </w:r>
            <w:r>
              <w:rPr>
                <w:rFonts w:hint="eastAsia" w:ascii="仿宋_GB2312" w:hAnsi="仿宋_GB2312" w:eastAsia="仿宋_GB2312"/>
                <w:sz w:val="24"/>
                <w:szCs w:val="24"/>
                <w:lang w:eastAsia="zh-CN"/>
              </w:rPr>
              <w:t>公司陆续</w:t>
            </w:r>
            <w:r>
              <w:rPr>
                <w:rFonts w:hint="eastAsia" w:ascii="仿宋_GB2312" w:hAnsi="仿宋_GB2312" w:eastAsia="仿宋_GB2312"/>
                <w:sz w:val="24"/>
                <w:szCs w:val="24"/>
              </w:rPr>
              <w:t>推出生猪、家禽、油茶、白莲、烟叶、毛竹等一系列覆盖</w:t>
            </w:r>
            <w:r>
              <w:rPr>
                <w:rFonts w:hint="eastAsia" w:ascii="仿宋_GB2312" w:hAnsi="仿宋_GB2312" w:eastAsia="仿宋_GB2312"/>
                <w:sz w:val="24"/>
                <w:szCs w:val="24"/>
                <w:lang w:eastAsia="zh-CN"/>
              </w:rPr>
              <w:t>赣州</w:t>
            </w:r>
            <w:r>
              <w:rPr>
                <w:rFonts w:hint="eastAsia" w:ascii="仿宋_GB2312" w:hAnsi="仿宋_GB2312" w:eastAsia="仿宋_GB2312"/>
                <w:sz w:val="24"/>
                <w:szCs w:val="24"/>
              </w:rPr>
              <w:t>当地特优农产品的保险产品</w:t>
            </w:r>
            <w:r>
              <w:rPr>
                <w:rFonts w:hint="eastAsia" w:ascii="仿宋_GB2312" w:hAnsi="仿宋_GB2312" w:eastAsia="仿宋_GB2312"/>
                <w:sz w:val="24"/>
                <w:szCs w:val="24"/>
                <w:lang w:eastAsia="zh-CN"/>
              </w:rPr>
              <w:t>，并通过</w:t>
            </w:r>
            <w:r>
              <w:rPr>
                <w:rFonts w:hint="eastAsia" w:ascii="仿宋_GB2312" w:hAnsi="仿宋_GB2312" w:eastAsia="仿宋_GB2312"/>
                <w:sz w:val="24"/>
                <w:szCs w:val="24"/>
              </w:rPr>
              <w:t>推广“价格指数保险”、“产量指数保险”等探索稳住农户种养预期收益的</w:t>
            </w:r>
            <w:r>
              <w:rPr>
                <w:rFonts w:hint="eastAsia" w:ascii="仿宋_GB2312" w:hAnsi="仿宋_GB2312" w:eastAsia="仿宋_GB2312"/>
                <w:sz w:val="24"/>
                <w:szCs w:val="24"/>
                <w:lang w:eastAsia="zh-CN"/>
              </w:rPr>
              <w:t>保险产品</w:t>
            </w:r>
            <w:r>
              <w:rPr>
                <w:rFonts w:hint="eastAsia" w:ascii="仿宋_GB2312" w:hAnsi="仿宋_GB2312" w:eastAsia="仿宋_GB2312"/>
                <w:sz w:val="24"/>
                <w:szCs w:val="24"/>
              </w:rPr>
              <w:t>，</w:t>
            </w:r>
            <w:r>
              <w:rPr>
                <w:rFonts w:hint="eastAsia" w:ascii="仿宋_GB2312" w:hAnsi="仿宋_GB2312" w:eastAsia="仿宋_GB2312"/>
                <w:sz w:val="24"/>
                <w:szCs w:val="24"/>
                <w:lang w:eastAsia="zh-CN"/>
              </w:rPr>
              <w:t>确保农民</w:t>
            </w:r>
            <w:r>
              <w:rPr>
                <w:rFonts w:hint="eastAsia" w:ascii="仿宋_GB2312" w:hAnsi="仿宋" w:eastAsia="仿宋_GB2312" w:cs="仿宋"/>
                <w:sz w:val="24"/>
                <w:szCs w:val="24"/>
                <w:highlight w:val="none"/>
              </w:rPr>
              <w:t>生产、生活稳产保供</w:t>
            </w:r>
            <w:r>
              <w:rPr>
                <w:rFonts w:hint="eastAsia" w:ascii="仿宋_GB2312" w:hAnsi="仿宋" w:eastAsia="仿宋_GB2312" w:cs="仿宋"/>
                <w:sz w:val="24"/>
                <w:szCs w:val="24"/>
                <w:highlight w:val="none"/>
                <w:lang w:eastAsia="zh-CN"/>
              </w:rPr>
              <w:t>，有力推进乡村振兴发展。</w:t>
            </w:r>
          </w:p>
          <w:p>
            <w:pPr>
              <w:pStyle w:val="9"/>
              <w:keepNext w:val="0"/>
              <w:keepLines w:val="0"/>
              <w:pageBreakBefore w:val="0"/>
              <w:widowControl w:val="0"/>
              <w:kinsoku/>
              <w:wordWrap/>
              <w:overflowPunct/>
              <w:topLinePunct w:val="0"/>
              <w:autoSpaceDE w:val="0"/>
              <w:autoSpaceDN w:val="0"/>
              <w:bidi w:val="0"/>
              <w:adjustRightInd w:val="0"/>
              <w:snapToGrid/>
              <w:spacing w:line="440" w:lineRule="exact"/>
              <w:ind w:firstLine="482" w:firstLineChars="200"/>
              <w:textAlignment w:val="auto"/>
              <w:rPr>
                <w:rFonts w:hint="eastAsia" w:ascii="仿宋_GB2312" w:hAnsi="Times New Roman" w:eastAsia="仿宋_GB2312" w:cs="Times New Roman"/>
                <w:color w:val="auto"/>
                <w:kern w:val="2"/>
                <w:sz w:val="24"/>
                <w:szCs w:val="24"/>
                <w:lang w:val="en-US" w:eastAsia="zh-CN" w:bidi="ar-SA"/>
              </w:rPr>
            </w:pPr>
            <w:r>
              <w:rPr>
                <w:rFonts w:hint="eastAsia" w:ascii="仿宋_GB2312" w:hAnsi="Times New Roman" w:eastAsia="仿宋_GB2312" w:cs="Times New Roman"/>
                <w:b/>
                <w:bCs/>
                <w:sz w:val="24"/>
                <w:szCs w:val="24"/>
                <w:lang w:val="en-US" w:eastAsia="zh-CN"/>
              </w:rPr>
              <w:t>稳健审慎，加强金融风险防范。</w:t>
            </w:r>
            <w:r>
              <w:rPr>
                <w:rFonts w:hint="eastAsia" w:ascii="仿宋_GB2312" w:hAnsi="Times New Roman" w:eastAsia="仿宋_GB2312" w:cs="Times New Roman"/>
                <w:color w:val="auto"/>
                <w:kern w:val="2"/>
                <w:sz w:val="24"/>
                <w:szCs w:val="24"/>
                <w:lang w:val="en-US" w:eastAsia="zh-CN" w:bidi="ar-SA"/>
              </w:rPr>
              <w:t>公司始终坚持审慎规范的原则，深入开展风险防范和管控，科学把握快与稳的关系，从发展和安全两个角度统筹好经营工作。在业务承保上，建立全面的风险评估模式，通过对企业的经营状况、地域位置等相关风险数据的收集，建立分析模型，数字化赋能非现场风勘，不断提高业务承保质量和风险防范能力。在管理机制上，成立由中支公司党委书记为组长、各部门负责人为组员的风险合规委员会，按月、按季对公司经营管理中存在的风险点进行分析评估，常态化开展数据真实性、各类业务风险排查，定期对员工进行风险警示教育和培训，严格规范工作流程，有效提高公司风险防控能力，确保公司行稳致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Times New Roman" w:eastAsia="仿宋_GB2312" w:cs="Times New Roman"/>
                <w:b/>
                <w:bCs/>
                <w:sz w:val="24"/>
                <w:szCs w:val="24"/>
                <w:lang w:val="en-US" w:eastAsia="zh-CN"/>
              </w:rPr>
              <w:t>守正创新，提升保险服务质效。</w:t>
            </w:r>
            <w:r>
              <w:rPr>
                <w:rFonts w:hint="eastAsia" w:ascii="仿宋_GB2312" w:hAnsi="Times New Roman" w:eastAsia="仿宋_GB2312" w:cs="Times New Roman"/>
                <w:sz w:val="24"/>
                <w:szCs w:val="24"/>
                <w:lang w:val="en-US" w:eastAsia="zh-CN"/>
              </w:rPr>
              <w:t>公司坚持创新引领发展，聚焦保险核心职能，</w:t>
            </w:r>
            <w:r>
              <w:rPr>
                <w:rFonts w:hint="eastAsia" w:ascii="仿宋_GB2312" w:eastAsia="仿宋_GB2312"/>
                <w:kern w:val="2"/>
                <w:sz w:val="24"/>
                <w:szCs w:val="24"/>
              </w:rPr>
              <w:t>进一步</w:t>
            </w:r>
            <w:r>
              <w:rPr>
                <w:rFonts w:hint="eastAsia" w:ascii="仿宋_GB2312" w:eastAsia="仿宋_GB2312"/>
                <w:kern w:val="2"/>
                <w:sz w:val="24"/>
                <w:szCs w:val="24"/>
                <w:lang w:eastAsia="zh-CN"/>
              </w:rPr>
              <w:t>完善保险服务</w:t>
            </w:r>
            <w:r>
              <w:rPr>
                <w:rFonts w:hint="eastAsia" w:ascii="仿宋_GB2312" w:eastAsia="仿宋_GB2312"/>
                <w:kern w:val="2"/>
                <w:sz w:val="24"/>
                <w:szCs w:val="24"/>
              </w:rPr>
              <w:t>，</w:t>
            </w:r>
            <w:r>
              <w:rPr>
                <w:rFonts w:hint="eastAsia" w:ascii="仿宋_GB2312" w:hAnsi="Times New Roman" w:eastAsia="仿宋_GB2312" w:cs="Times New Roman"/>
                <w:color w:val="auto"/>
                <w:kern w:val="2"/>
                <w:sz w:val="24"/>
                <w:szCs w:val="24"/>
                <w:lang w:val="en-US" w:eastAsia="zh-CN" w:bidi="ar-SA"/>
              </w:rPr>
              <w:t>努力为赣州打造创新型城市提供全面、系统、高效的保险支持。</w:t>
            </w:r>
            <w:r>
              <w:rPr>
                <w:rFonts w:hint="eastAsia" w:ascii="仿宋_GB2312" w:hAnsi="仿宋_GB2312" w:eastAsia="仿宋_GB2312" w:cs="仿宋_GB2312"/>
                <w:sz w:val="24"/>
                <w:szCs w:val="24"/>
                <w:highlight w:val="none"/>
                <w:lang w:val="en-US" w:eastAsia="zh-CN"/>
              </w:rPr>
              <w:t>调研小微高新技术企业风险分散现状，优化线上投保方式，持续跟进企业在成长、成熟阶段的风险管理需求，不断调整保险产品适配性，实现一企一策。</w:t>
            </w:r>
            <w:r>
              <w:rPr>
                <w:rFonts w:hint="eastAsia" w:ascii="仿宋_GB2312" w:hAnsi="Times New Roman" w:eastAsia="仿宋_GB2312" w:cs="Times New Roman"/>
                <w:color w:val="auto"/>
                <w:kern w:val="2"/>
                <w:sz w:val="24"/>
                <w:szCs w:val="24"/>
                <w:lang w:val="en-US" w:eastAsia="zh-CN" w:bidi="ar-SA"/>
              </w:rPr>
              <w:t>综合运用保险机制，积极推进专精特新企业综合保险、高层次人才保险等产品，有效促进企业创新和科技成果转化</w:t>
            </w:r>
            <w:r>
              <w:rPr>
                <w:rFonts w:hint="eastAsia" w:ascii="仿宋_GB2312" w:hAnsi="仿宋_GB2312" w:eastAsia="仿宋_GB2312" w:cs="仿宋_GB2312"/>
                <w:sz w:val="24"/>
                <w:szCs w:val="24"/>
                <w:highlight w:val="none"/>
                <w:lang w:val="en-US" w:eastAsia="zh-CN"/>
              </w:rPr>
              <w:t>。2023年来共为50余家国家级“专精特新”小巨人企业提供超14亿元风险保障。</w:t>
            </w:r>
          </w:p>
          <w:p>
            <w:pPr>
              <w:keepNext w:val="0"/>
              <w:keepLines w:val="0"/>
              <w:pageBreakBefore w:val="0"/>
              <w:widowControl w:val="0"/>
              <w:kinsoku/>
              <w:wordWrap/>
              <w:overflowPunct/>
              <w:topLinePunct w:val="0"/>
              <w:bidi w:val="0"/>
              <w:snapToGrid/>
              <w:spacing w:line="440" w:lineRule="exact"/>
              <w:ind w:firstLine="482" w:firstLineChars="200"/>
              <w:jc w:val="both"/>
              <w:textAlignment w:val="auto"/>
              <w:rPr>
                <w:rFonts w:hint="eastAsia" w:ascii="仿宋_GB2312" w:hAnsi="仿宋_GB2312" w:eastAsia="仿宋_GB2312"/>
                <w:sz w:val="24"/>
                <w:szCs w:val="24"/>
              </w:rPr>
            </w:pPr>
            <w:r>
              <w:rPr>
                <w:rFonts w:hint="eastAsia" w:ascii="仿宋_GB2312" w:hAnsi="Times New Roman" w:eastAsia="仿宋_GB2312" w:cs="Times New Roman"/>
                <w:b/>
                <w:bCs/>
                <w:sz w:val="24"/>
                <w:szCs w:val="24"/>
                <w:lang w:val="en-US" w:eastAsia="zh-CN"/>
              </w:rPr>
              <w:t>依法合规，夯实高质发展根基。</w:t>
            </w:r>
            <w:r>
              <w:rPr>
                <w:rFonts w:hint="eastAsia" w:ascii="仿宋_GB2312" w:hAnsi="仿宋_GB2312" w:eastAsia="仿宋_GB2312"/>
                <w:sz w:val="24"/>
                <w:szCs w:val="24"/>
              </w:rPr>
              <w:t>深入贯彻落实中央金融工作会议精神，全力支持稳定的金融发展环境，坚持风险管理与经营发展协同共进，确保发展质量平稳可控</w:t>
            </w:r>
            <w:r>
              <w:rPr>
                <w:rFonts w:hint="eastAsia" w:ascii="仿宋_GB2312" w:hAnsi="仿宋_GB2312" w:eastAsia="仿宋_GB2312"/>
                <w:b w:val="0"/>
                <w:bCs w:val="0"/>
                <w:sz w:val="24"/>
                <w:szCs w:val="24"/>
              </w:rPr>
              <w:t>。一方面，统筹发展与安全。紧盯抓住人、钱、制度三个关键，全面深化大风控、大监督体系建设，做到管住人、看住钱、扎牢制度防火墙。另一方面，维护大局与稳定。牢固树立严格遵守金融监管要求的合规意识、坚决维护公平竞争环境的市场意识、以消费者权益保护为核心的服务意识，</w:t>
            </w:r>
            <w:r>
              <w:rPr>
                <w:rFonts w:hint="eastAsia" w:ascii="仿宋_GB2312" w:hAnsi="仿宋_GB2312" w:eastAsia="仿宋_GB2312"/>
                <w:b w:val="0"/>
                <w:bCs w:val="0"/>
                <w:sz w:val="24"/>
                <w:szCs w:val="24"/>
                <w:lang w:eastAsia="zh-CN"/>
              </w:rPr>
              <w:t>开展一把手讲合规公开课，</w:t>
            </w:r>
            <w:r>
              <w:rPr>
                <w:rFonts w:hint="eastAsia" w:ascii="仿宋_GB2312" w:hAnsi="仿宋_GB2312" w:eastAsia="仿宋_GB2312"/>
                <w:b w:val="0"/>
                <w:bCs w:val="0"/>
                <w:sz w:val="24"/>
                <w:szCs w:val="24"/>
              </w:rPr>
              <w:t>加强全面风险、内控合规、消</w:t>
            </w:r>
            <w:r>
              <w:rPr>
                <w:rFonts w:hint="eastAsia" w:ascii="仿宋_GB2312" w:hAnsi="仿宋_GB2312" w:eastAsia="仿宋_GB2312"/>
                <w:sz w:val="24"/>
                <w:szCs w:val="24"/>
              </w:rPr>
              <w:t>保服务管理，切实防范金融风险，营造良好的发展环境。</w:t>
            </w:r>
          </w:p>
          <w:p>
            <w:pPr>
              <w:keepNext w:val="0"/>
              <w:keepLines w:val="0"/>
              <w:pageBreakBefore w:val="0"/>
              <w:widowControl w:val="0"/>
              <w:kinsoku/>
              <w:wordWrap/>
              <w:overflowPunct/>
              <w:topLinePunct w:val="0"/>
              <w:bidi w:val="0"/>
              <w:snapToGrid/>
              <w:spacing w:line="440" w:lineRule="exact"/>
              <w:ind w:firstLine="480" w:firstLineChars="200"/>
              <w:textAlignment w:val="auto"/>
              <w:rPr>
                <w:rFonts w:hint="eastAsia" w:ascii="仿宋_GB2312" w:hAnsi="Times New Roman" w:eastAsia="仿宋_GB2312" w:cs="Times New Roman"/>
                <w:color w:val="auto"/>
                <w:kern w:val="2"/>
                <w:sz w:val="24"/>
                <w:szCs w:val="24"/>
                <w:lang w:val="en-US" w:eastAsia="zh-CN" w:bidi="ar-SA"/>
              </w:rPr>
            </w:pPr>
            <w:r>
              <w:rPr>
                <w:rFonts w:hint="eastAsia" w:ascii="仿宋_GB2312" w:hAnsi="Times New Roman" w:eastAsia="仿宋_GB2312" w:cs="Times New Roman"/>
                <w:color w:val="auto"/>
                <w:kern w:val="2"/>
                <w:sz w:val="24"/>
                <w:szCs w:val="24"/>
                <w:lang w:val="en-US" w:eastAsia="zh-CN" w:bidi="ar-SA"/>
              </w:rPr>
              <w:t>加快建设金融强国是时代赋予的重要使命，责任重大而深远。中国人寿财险赣州市中心支公司将始终坚守初心，牢记“国之大者”，致力于深入实践中国特色金融文化，不断丰富产品和服务内涵，探索创新经营模式，以实际行动为赣州金融事业的繁荣与发展贡献力量。</w:t>
            </w:r>
          </w:p>
          <w:p>
            <w:pPr>
              <w:keepNext w:val="0"/>
              <w:keepLines w:val="0"/>
              <w:pageBreakBefore w:val="0"/>
              <w:widowControl w:val="0"/>
              <w:kinsoku/>
              <w:wordWrap/>
              <w:overflowPunct/>
              <w:topLinePunct w:val="0"/>
              <w:bidi w:val="0"/>
              <w:snapToGrid/>
              <w:spacing w:line="440" w:lineRule="exact"/>
              <w:ind w:firstLine="480" w:firstLineChars="200"/>
              <w:textAlignment w:val="auto"/>
              <w:rPr>
                <w:sz w:val="24"/>
                <w:szCs w:val="24"/>
              </w:rPr>
            </w:pPr>
          </w:p>
          <w:p>
            <w:pPr>
              <w:keepNext w:val="0"/>
              <w:keepLines w:val="0"/>
              <w:pageBreakBefore w:val="0"/>
              <w:widowControl w:val="0"/>
              <w:kinsoku/>
              <w:wordWrap/>
              <w:overflowPunct/>
              <w:topLinePunct w:val="0"/>
              <w:bidi w:val="0"/>
              <w:snapToGrid/>
              <w:spacing w:line="440" w:lineRule="exact"/>
              <w:textAlignment w:val="auto"/>
              <w:rPr>
                <w:sz w:val="24"/>
                <w:szCs w:val="24"/>
              </w:rPr>
            </w:pPr>
          </w:p>
          <w:p>
            <w:pPr>
              <w:keepNext w:val="0"/>
              <w:keepLines w:val="0"/>
              <w:pageBreakBefore w:val="0"/>
              <w:widowControl w:val="0"/>
              <w:kinsoku/>
              <w:wordWrap/>
              <w:overflowPunct/>
              <w:topLinePunct w:val="0"/>
              <w:bidi w:val="0"/>
              <w:snapToGrid/>
              <w:spacing w:line="440" w:lineRule="exact"/>
              <w:ind w:firstLine="420" w:firstLineChars="200"/>
              <w:textAlignment w:val="auto"/>
            </w:pPr>
          </w:p>
          <w:p>
            <w:pPr>
              <w:pStyle w:val="2"/>
            </w:pPr>
          </w:p>
          <w:p>
            <w:pPr>
              <w:spacing w:line="560" w:lineRule="exact"/>
              <w:rPr>
                <w:rFonts w:hint="default"/>
                <w:lang w:val="en-US" w:eastAsia="zh-CN"/>
              </w:rPr>
            </w:pPr>
            <w:r>
              <w:rPr>
                <w:rFonts w:hint="eastAsia" w:ascii="仿宋_GB2312" w:eastAsia="仿宋_GB2312"/>
                <w:lang w:val="en-US" w:eastAsia="zh-CN"/>
              </w:rPr>
              <w:t xml:space="preserve">                                    年  月  日</w:t>
            </w:r>
          </w:p>
        </w:tc>
      </w:tr>
    </w:tbl>
    <w:p>
      <w:pPr>
        <w:tabs>
          <w:tab w:val="left" w:pos="3527"/>
        </w:tabs>
        <w:bidi w:val="0"/>
        <w:jc w:val="left"/>
        <w:rPr>
          <w:rFonts w:hint="eastAsia"/>
          <w:lang w:val="en-US" w:eastAsia="zh-CN"/>
        </w:rPr>
      </w:pPr>
    </w:p>
    <w:sectPr>
      <w:footerReference r:id="rId3" w:type="default"/>
      <w:pgSz w:w="11906" w:h="16838"/>
      <w:pgMar w:top="2098" w:right="1474" w:bottom="1984"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NGE2MjdkZDRkZTA5MjViYjk3NzIxOGZkOWNmNTEifQ=="/>
  </w:docVars>
  <w:rsids>
    <w:rsidRoot w:val="54556C69"/>
    <w:rsid w:val="00D87C91"/>
    <w:rsid w:val="05BD0878"/>
    <w:rsid w:val="09A10FA3"/>
    <w:rsid w:val="0BD90C08"/>
    <w:rsid w:val="0E325B41"/>
    <w:rsid w:val="0F785FDA"/>
    <w:rsid w:val="196642FF"/>
    <w:rsid w:val="1A7578DA"/>
    <w:rsid w:val="21AE059D"/>
    <w:rsid w:val="238B760E"/>
    <w:rsid w:val="23BC7AD3"/>
    <w:rsid w:val="25186DE9"/>
    <w:rsid w:val="26AB0FE6"/>
    <w:rsid w:val="279B5FFD"/>
    <w:rsid w:val="2EB614F9"/>
    <w:rsid w:val="36E957A9"/>
    <w:rsid w:val="396A3E9D"/>
    <w:rsid w:val="40700606"/>
    <w:rsid w:val="42345D95"/>
    <w:rsid w:val="44D710BB"/>
    <w:rsid w:val="481A04BE"/>
    <w:rsid w:val="534F1800"/>
    <w:rsid w:val="54556C69"/>
    <w:rsid w:val="56B320DD"/>
    <w:rsid w:val="5C2A09EC"/>
    <w:rsid w:val="5D304B49"/>
    <w:rsid w:val="62855488"/>
    <w:rsid w:val="62DD2CF5"/>
    <w:rsid w:val="652D1A07"/>
    <w:rsid w:val="65A61170"/>
    <w:rsid w:val="67391489"/>
    <w:rsid w:val="6820603D"/>
    <w:rsid w:val="6AD46BCB"/>
    <w:rsid w:val="6BD02112"/>
    <w:rsid w:val="70961BFB"/>
    <w:rsid w:val="74C656E5"/>
    <w:rsid w:val="75265DA9"/>
    <w:rsid w:val="75DE640B"/>
    <w:rsid w:val="7BE97899"/>
    <w:rsid w:val="7EFA6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1"/>
    <w:unhideWhenUsed/>
    <w:qFormat/>
    <w:uiPriority w:val="0"/>
    <w:pPr>
      <w:widowControl w:val="0"/>
      <w:spacing w:line="560" w:lineRule="exact"/>
      <w:ind w:firstLine="643"/>
      <w:jc w:val="both"/>
      <w:outlineLvl w:val="1"/>
    </w:pPr>
    <w:rPr>
      <w:rFonts w:ascii="黑体" w:hAnsi="黑体" w:eastAsia="黑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rPr>
  </w:style>
  <w:style w:type="paragraph" w:styleId="4">
    <w:name w:val="Normal Indent"/>
    <w:basedOn w:val="1"/>
    <w:next w:val="1"/>
    <w:qFormat/>
    <w:uiPriority w:val="0"/>
    <w:pPr>
      <w:autoSpaceDE w:val="0"/>
      <w:autoSpaceDN w:val="0"/>
      <w:adjustRightInd w:val="0"/>
      <w:ind w:firstLine="420" w:firstLineChars="0"/>
      <w:jc w:val="left"/>
    </w:pPr>
    <w:rPr>
      <w:rFonts w:ascii="宋体" w:hAnsi="Calibri" w:eastAsia="宋体" w:cs="Times New Roman"/>
      <w:kern w:val="0"/>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10">
    <w:name w:val="普通(网站)1"/>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1802</Words>
  <Characters>1862</Characters>
  <Lines>0</Lines>
  <Paragraphs>0</Paragraphs>
  <TotalTime>0</TotalTime>
  <ScaleCrop>false</ScaleCrop>
  <LinksUpToDate>false</LinksUpToDate>
  <CharactersWithSpaces>1920</CharactersWithSpaces>
  <Application>WPS Office_11.8.2.9093_F1E327BC-269C-435d-A152-05C5408002CA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2024-10-16T07:05:00Z</dcterms:created>
  <dc:creator>企业用户_1040921073</dc:creator>
  <cp:lastModifiedBy>邓秀玉</cp:lastModifiedBy>
  <dcterms:modified xsi:type="dcterms:W3CDTF">2024-12-17T09:19:29Z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2052-11.8.2.9093</vt:lpwstr>
  </property>
  <property fmtid="{D5CDD505-2E9C-101B-9397-08002B2CF9AE}" pid="3" name="ICV">
    <vt:lpwstr>B3CF7AD474AB4779805B31122F95BFA2_11</vt:lpwstr>
  </property>
</Properties>
</file>