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180"/>
        </w:tabs>
        <w:spacing w:before="219" w:line="236" w:lineRule="auto"/>
        <w:ind w:left="0" w:leftChars="0" w:right="106" w:rightChars="0" w:firstLine="0" w:firstLineChars="0"/>
        <w:jc w:val="center"/>
        <w:rPr>
          <w:rFonts w:ascii="宋体" w:hAnsi="宋体" w:eastAsia="宋体" w:cs="宋体"/>
          <w:b/>
          <w:bCs/>
          <w:spacing w:val="-7"/>
          <w:sz w:val="51"/>
          <w:szCs w:val="51"/>
        </w:rPr>
      </w:pPr>
      <w:r>
        <w:rPr>
          <w:rFonts w:ascii="宋体" w:hAnsi="宋体" w:eastAsia="宋体" w:cs="宋体"/>
          <w:b/>
          <w:bCs/>
          <w:spacing w:val="-7"/>
          <w:sz w:val="51"/>
          <w:szCs w:val="51"/>
        </w:rPr>
        <w:t>全省保险业培育弘扬金融文化</w:t>
      </w:r>
    </w:p>
    <w:p>
      <w:pPr>
        <w:tabs>
          <w:tab w:val="left" w:pos="8180"/>
        </w:tabs>
        <w:spacing w:before="219" w:line="236" w:lineRule="auto"/>
        <w:ind w:left="0" w:leftChars="0" w:right="106" w:rightChars="0" w:firstLine="0" w:firstLineChars="0"/>
        <w:jc w:val="center"/>
        <w:rPr>
          <w:rFonts w:ascii="宋体" w:hAnsi="宋体" w:eastAsia="宋体" w:cs="宋体"/>
          <w:sz w:val="51"/>
          <w:szCs w:val="51"/>
        </w:rPr>
      </w:pPr>
      <w:r>
        <w:rPr>
          <w:rFonts w:ascii="宋体" w:hAnsi="宋体" w:eastAsia="宋体" w:cs="宋体"/>
          <w:b/>
          <w:bCs/>
          <w:sz w:val="51"/>
          <w:szCs w:val="51"/>
        </w:rPr>
        <w:t>先进个人申报表</w:t>
      </w:r>
    </w:p>
    <w:p>
      <w:pPr>
        <w:spacing w:line="235" w:lineRule="exact"/>
      </w:pPr>
    </w:p>
    <w:tbl>
      <w:tblPr>
        <w:tblStyle w:val="11"/>
        <w:tblW w:w="882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3"/>
        <w:gridCol w:w="2177"/>
        <w:gridCol w:w="654"/>
        <w:gridCol w:w="575"/>
        <w:gridCol w:w="1249"/>
        <w:gridCol w:w="1378"/>
        <w:gridCol w:w="11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1623" w:type="dxa"/>
          </w:tcPr>
          <w:p>
            <w:pPr>
              <w:spacing w:before="285" w:line="219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机构名称</w:t>
            </w:r>
          </w:p>
        </w:tc>
        <w:tc>
          <w:tcPr>
            <w:tcW w:w="7197" w:type="dxa"/>
            <w:gridSpan w:val="6"/>
            <w:vAlign w:val="center"/>
          </w:tcPr>
          <w:p>
            <w:pPr>
              <w:pStyle w:val="12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中国太平洋财产保险股份有限公司江西分公司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1623" w:type="dxa"/>
          </w:tcPr>
          <w:p>
            <w:pPr>
              <w:spacing w:before="274" w:line="219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20"/>
                <w:sz w:val="28"/>
                <w:szCs w:val="28"/>
              </w:rPr>
              <w:t>姓名</w:t>
            </w:r>
          </w:p>
        </w:tc>
        <w:tc>
          <w:tcPr>
            <w:tcW w:w="2177" w:type="dxa"/>
            <w:vAlign w:val="center"/>
          </w:tcPr>
          <w:p>
            <w:pPr>
              <w:pStyle w:val="12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郑思琦</w:t>
            </w:r>
          </w:p>
        </w:tc>
        <w:tc>
          <w:tcPr>
            <w:tcW w:w="1229" w:type="dxa"/>
            <w:gridSpan w:val="2"/>
          </w:tcPr>
          <w:p>
            <w:pPr>
              <w:spacing w:before="274" w:line="220" w:lineRule="auto"/>
              <w:ind w:left="315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12"/>
                <w:sz w:val="28"/>
                <w:szCs w:val="28"/>
              </w:rPr>
              <w:t>性别</w:t>
            </w:r>
          </w:p>
        </w:tc>
        <w:tc>
          <w:tcPr>
            <w:tcW w:w="1249" w:type="dxa"/>
            <w:vAlign w:val="center"/>
          </w:tcPr>
          <w:p>
            <w:pPr>
              <w:pStyle w:val="12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1378" w:type="dxa"/>
          </w:tcPr>
          <w:p>
            <w:pPr>
              <w:spacing w:before="274" w:line="219" w:lineRule="auto"/>
              <w:ind w:left="397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6"/>
                <w:sz w:val="28"/>
                <w:szCs w:val="28"/>
              </w:rPr>
              <w:t>年龄</w:t>
            </w:r>
          </w:p>
        </w:tc>
        <w:tc>
          <w:tcPr>
            <w:tcW w:w="1164" w:type="dxa"/>
            <w:vAlign w:val="center"/>
          </w:tcPr>
          <w:p>
            <w:pPr>
              <w:pStyle w:val="12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39岁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1623" w:type="dxa"/>
          </w:tcPr>
          <w:p>
            <w:pPr>
              <w:spacing w:before="275" w:line="219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7"/>
                <w:sz w:val="28"/>
                <w:szCs w:val="28"/>
              </w:rPr>
              <w:t>职务</w:t>
            </w:r>
          </w:p>
        </w:tc>
        <w:tc>
          <w:tcPr>
            <w:tcW w:w="2831" w:type="dxa"/>
            <w:gridSpan w:val="2"/>
            <w:vAlign w:val="center"/>
          </w:tcPr>
          <w:p>
            <w:pPr>
              <w:pStyle w:val="12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员工</w:t>
            </w:r>
          </w:p>
        </w:tc>
        <w:tc>
          <w:tcPr>
            <w:tcW w:w="1824" w:type="dxa"/>
            <w:gridSpan w:val="2"/>
          </w:tcPr>
          <w:p>
            <w:pPr>
              <w:spacing w:before="276" w:line="221" w:lineRule="auto"/>
              <w:ind w:left="366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>联系方式</w:t>
            </w:r>
          </w:p>
        </w:tc>
        <w:tc>
          <w:tcPr>
            <w:tcW w:w="2542" w:type="dxa"/>
            <w:gridSpan w:val="2"/>
            <w:vAlign w:val="center"/>
          </w:tcPr>
          <w:p>
            <w:pPr>
              <w:pStyle w:val="12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15870602722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1" w:hRule="atLeast"/>
        </w:trPr>
        <w:tc>
          <w:tcPr>
            <w:tcW w:w="1623" w:type="dxa"/>
          </w:tcPr>
          <w:p>
            <w:pPr>
              <w:pStyle w:val="12"/>
              <w:spacing w:line="256" w:lineRule="auto"/>
            </w:pPr>
          </w:p>
          <w:p>
            <w:pPr>
              <w:pStyle w:val="12"/>
              <w:spacing w:line="256" w:lineRule="auto"/>
            </w:pPr>
          </w:p>
          <w:p>
            <w:pPr>
              <w:pStyle w:val="12"/>
              <w:spacing w:line="256" w:lineRule="auto"/>
            </w:pPr>
          </w:p>
          <w:p>
            <w:pPr>
              <w:pStyle w:val="12"/>
              <w:spacing w:line="256" w:lineRule="auto"/>
            </w:pPr>
          </w:p>
          <w:p>
            <w:pPr>
              <w:pStyle w:val="12"/>
              <w:spacing w:line="256" w:lineRule="auto"/>
            </w:pPr>
          </w:p>
          <w:p>
            <w:pPr>
              <w:pStyle w:val="12"/>
              <w:spacing w:line="256" w:lineRule="auto"/>
            </w:pPr>
          </w:p>
          <w:p>
            <w:pPr>
              <w:pStyle w:val="12"/>
              <w:spacing w:line="256" w:lineRule="auto"/>
            </w:pPr>
          </w:p>
          <w:p>
            <w:pPr>
              <w:pStyle w:val="12"/>
              <w:spacing w:line="257" w:lineRule="auto"/>
            </w:pPr>
          </w:p>
          <w:p>
            <w:pPr>
              <w:pStyle w:val="12"/>
              <w:spacing w:line="257" w:lineRule="auto"/>
            </w:pPr>
          </w:p>
          <w:p>
            <w:pPr>
              <w:pStyle w:val="12"/>
              <w:spacing w:line="257" w:lineRule="auto"/>
            </w:pPr>
          </w:p>
          <w:p>
            <w:pPr>
              <w:pStyle w:val="12"/>
              <w:spacing w:line="257" w:lineRule="auto"/>
            </w:pPr>
          </w:p>
          <w:p>
            <w:pPr>
              <w:pStyle w:val="12"/>
              <w:spacing w:line="257" w:lineRule="auto"/>
            </w:pPr>
          </w:p>
          <w:p>
            <w:pPr>
              <w:pStyle w:val="12"/>
              <w:spacing w:line="257" w:lineRule="auto"/>
            </w:pPr>
          </w:p>
          <w:p>
            <w:pPr>
              <w:pStyle w:val="12"/>
              <w:spacing w:line="257" w:lineRule="auto"/>
            </w:pPr>
          </w:p>
          <w:p>
            <w:pPr>
              <w:spacing w:before="100" w:line="219" w:lineRule="auto"/>
              <w:ind w:left="215"/>
              <w:rPr>
                <w:rFonts w:ascii="宋体" w:hAnsi="宋体" w:eastAsia="宋体" w:cs="宋体"/>
                <w:sz w:val="31"/>
                <w:szCs w:val="31"/>
              </w:rPr>
            </w:pPr>
            <w:r>
              <w:rPr>
                <w:rFonts w:ascii="宋体" w:hAnsi="宋体" w:eastAsia="宋体" w:cs="宋体"/>
                <w:spacing w:val="2"/>
                <w:sz w:val="28"/>
                <w:szCs w:val="28"/>
              </w:rPr>
              <w:t>事迹材料</w:t>
            </w:r>
          </w:p>
        </w:tc>
        <w:tc>
          <w:tcPr>
            <w:tcW w:w="7197" w:type="dxa"/>
            <w:gridSpan w:val="6"/>
            <w:vAlign w:val="center"/>
          </w:tcPr>
          <w:p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right="246" w:rightChars="117" w:firstLine="480" w:firstLineChars="200"/>
              <w:jc w:val="both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2023年至今，借调至国家金融监督管理总局江西监管局12378银行保险消费者投诉维权热线江西分中心，接听12378热线近3000次，服务满意度达99.5%以上，工作得到金融局及各金融机构好评并通报表扬。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leftChars="0" w:right="246" w:rightChars="117" w:firstLine="480" w:firstLineChars="0"/>
              <w:jc w:val="both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一、筑牢金融文化根基，做好金融文化传播者。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立足自身岗位特点，积极思考如何做精、做细诚实守信、不逾越底线的金融宣传工作。为使宣传更有成效，使得金融消费者更容易理解记牢，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积极参与公司“以案说险”经典案例收集和撰写，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充分运用保险行业协会的“以案说险”线上案例解说创新宣传模式，通过“以案说险”经典案例的收集归纳、撰写总结、宣传宣导等相关工作，以通俗易懂的现实案例对金融文化、金融知识进行宣导，倡导广大金融消费者坚守诚实守信底线，提高金融消费者的保险意识和风险意识。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leftChars="0" w:right="246" w:rightChars="117" w:firstLine="480" w:firstLineChars="0"/>
              <w:jc w:val="both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近期，以主持人身份参与江西省保险行业协会“以案说险”视频录制，现场邀请了江西财经大学法学院张怡超教授参加，围绕着保险最大诚信原则进行了全面深入的解读，建议广大金融消费者在坚守诚实守信的基础上，更好的维护自身权益。通过视频，传递了金融保险的正能量，营造了维护诚信金融环境。视频一经播出，广泛传播，收效良好。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480" w:leftChars="0" w:right="246" w:rightChars="117" w:firstLine="0" w:firstLineChars="0"/>
              <w:jc w:val="both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践行金融为民理念，当好金融保险服务者。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numPr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right="246" w:rightChars="117" w:firstLine="480" w:firstLineChars="200"/>
              <w:jc w:val="both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始终以“更好的解决金融消费者实际问题”、“服务满意度进一步提升”、“优化提升综合金融服务能力”作为工作目标方向。在日常服务工作中，以极大的热情服务于金融消费者，通过与金融消费者真诚的沟通和，及时响应需求，赢得金融消费者信任，为行业各金融机构诉前化解纠纷创造更多机会，通过自己服务品质坚持和追求，不断释放金融为民的温度，推动实现让金融消费者感受到金融为民和金融惠民的发展温度。 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numPr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right="246" w:rightChars="117" w:firstLine="480" w:firstLineChars="200"/>
              <w:jc w:val="both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在银行保险消费者投诉维权热线岗位接听12378热线时，耐心聆听，利用自己多年的保险从业经验对各种情况进行分析，积极安抚消费者情绪，成功避免了多起矛盾升级案件，有效化解舆情风险；通过与消费者真诚的沟通和与机构的高效联动，及时响应，赢得消费者信任。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numPr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right="246" w:rightChars="117" w:firstLine="480" w:firstLineChars="200"/>
              <w:jc w:val="both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有一次，一位消费者因理赔金额争议拨打热线投诉，语气十分激动，表述过程中怒火高涨，我耐心聆听他的诉求，站在他的立场中理解他遇到的问题，安抚他的情绪，渐渐地消费者平复了情绪，并同意我给出的引导建议，后续被诉机构也快速的化解了纠纷。消费者再次拨打我们热线表示感谢。这不仅能帮助消费者快速处理好诉求，而且也给金融机构提供诉前化解纠纷的机会，成功避免了多起矛盾升级案件，有效化解舆情风险。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leftChars="0" w:right="246" w:rightChars="117" w:firstLine="480" w:firstLineChars="0"/>
              <w:jc w:val="both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三、助推行业和谐稳定，成为行业高质量奋斗者。充分认识到消费者投诉维权热线的工作具有很强的实际意义，可以集中反映保险行业消费者关心的重点、难点和痛点，可以为保险行业服务的提升方向带来有益的引导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。基于较长时间内在这一岗位的工作情况，及时将接到的12378热线情况反馈给相应保险机构并持续跟进，对相关情况进行归纳分析得出有益经验，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以点带面总结推广经验，有效的降低行业投诉量，以实际行动践行“五要五不”精神，助力全行业服务意识和服务水平的提高，助力行业高质量发展。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leftChars="0" w:right="246" w:rightChars="117" w:firstLine="480" w:firstLineChars="0"/>
              <w:jc w:val="both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  <w:p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0" w:leftChars="0" w:right="246" w:rightChars="117" w:firstLine="480" w:firstLineChars="0"/>
              <w:jc w:val="both"/>
              <w:textAlignment w:val="baseline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  <w:p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 w:leftChars="0" w:right="246" w:rightChars="117" w:firstLine="4522" w:firstLineChars="1726"/>
              <w:jc w:val="both"/>
              <w:textAlignment w:val="baseline"/>
              <w:rPr>
                <w:rFonts w:ascii="宋体" w:hAnsi="宋体" w:eastAsia="宋体" w:cs="宋体"/>
                <w:spacing w:val="11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1"/>
                <w:sz w:val="24"/>
                <w:szCs w:val="24"/>
              </w:rPr>
              <w:t>盖章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left="0" w:leftChars="0" w:right="246" w:rightChars="117" w:firstLine="4142" w:firstLineChars="1726"/>
              <w:jc w:val="both"/>
              <w:textAlignment w:val="baseline"/>
              <w:rPr>
                <w:rFonts w:hint="eastAsia" w:ascii="宋体" w:hAnsi="宋体" w:eastAsia="宋体" w:cs="宋体"/>
                <w:sz w:val="10"/>
                <w:szCs w:val="10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  <w:p>
            <w:pPr>
              <w:spacing w:before="101" w:line="205" w:lineRule="auto"/>
              <w:ind w:right="47" w:rightChars="0" w:firstLine="4176" w:firstLineChars="2400"/>
              <w:jc w:val="both"/>
            </w:pPr>
            <w:r>
              <w:rPr>
                <w:rFonts w:hint="eastAsia" w:ascii="宋体" w:hAnsi="宋体" w:eastAsia="宋体" w:cs="宋体"/>
                <w:spacing w:val="-33"/>
                <w:sz w:val="24"/>
                <w:szCs w:val="24"/>
                <w:lang w:val="en-US" w:eastAsia="zh-CN"/>
              </w:rPr>
              <w:t>2024</w:t>
            </w:r>
            <w:r>
              <w:rPr>
                <w:rFonts w:ascii="宋体" w:hAnsi="宋体" w:eastAsia="宋体" w:cs="宋体"/>
                <w:spacing w:val="-33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pacing w:val="-33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24"/>
                <w:sz w:val="24"/>
                <w:szCs w:val="24"/>
                <w:lang w:val="en-US" w:eastAsia="zh-CN"/>
              </w:rPr>
              <w:t>12</w:t>
            </w:r>
            <w:r>
              <w:rPr>
                <w:rFonts w:ascii="宋体" w:hAnsi="宋体" w:eastAsia="宋体" w:cs="宋体"/>
                <w:spacing w:val="-33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pacing w:val="-33"/>
                <w:sz w:val="24"/>
                <w:szCs w:val="24"/>
                <w:lang w:val="en-US" w:eastAsia="zh-CN"/>
              </w:rPr>
              <w:t xml:space="preserve">  1 6</w:t>
            </w:r>
            <w:r>
              <w:rPr>
                <w:rFonts w:ascii="宋体" w:hAnsi="宋体" w:eastAsia="宋体" w:cs="宋体"/>
                <w:spacing w:val="-33"/>
                <w:sz w:val="24"/>
                <w:szCs w:val="24"/>
              </w:rPr>
              <w:t>日</w:t>
            </w:r>
          </w:p>
        </w:tc>
      </w:tr>
    </w:tbl>
    <w:p/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878950"/>
    <w:multiLevelType w:val="singleLevel"/>
    <w:tmpl w:val="10878950"/>
    <w:lvl w:ilvl="0" w:tentative="0">
      <w:start w:val="2"/>
      <w:numFmt w:val="chineseCounting"/>
      <w:suff w:val="nothing"/>
      <w:lvlText w:val="%1、"/>
      <w:lvlJc w:val="left"/>
      <w:pPr>
        <w:ind w:left="480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lNzEyZWVhYzQyNzg0OTUxMjllZWZlNjVhOGE4ZDQifQ=="/>
  </w:docVars>
  <w:rsids>
    <w:rsidRoot w:val="00000000"/>
    <w:rsid w:val="0DDA1D62"/>
    <w:rsid w:val="1B867470"/>
    <w:rsid w:val="2A901C7F"/>
    <w:rsid w:val="34EB544E"/>
    <w:rsid w:val="38EA132A"/>
    <w:rsid w:val="409A37CA"/>
    <w:rsid w:val="41FC4CE9"/>
    <w:rsid w:val="4DFF671E"/>
    <w:rsid w:val="4EDB38E7"/>
    <w:rsid w:val="50AF7CD4"/>
    <w:rsid w:val="52E61ED9"/>
    <w:rsid w:val="5DC049A0"/>
    <w:rsid w:val="5ECF1B47"/>
    <w:rsid w:val="6DDE5AED"/>
    <w:rsid w:val="70B846B1"/>
    <w:rsid w:val="77D2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/>
    </w:rPr>
  </w:style>
  <w:style w:type="paragraph" w:styleId="4">
    <w:name w:val="heading 3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/>
    </w:rPr>
  </w:style>
  <w:style w:type="character" w:default="1" w:styleId="9">
    <w:name w:val="Default Paragraph Font"/>
    <w:qFormat/>
    <w:uiPriority w:val="0"/>
  </w:style>
  <w:style w:type="table" w:default="1" w:styleId="7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99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table" w:customStyle="1" w:styleId="11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Table Text"/>
    <w:basedOn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504</Words>
  <Characters>554</Characters>
  <Paragraphs>69</Paragraphs>
  <TotalTime>3</TotalTime>
  <ScaleCrop>false</ScaleCrop>
  <LinksUpToDate>false</LinksUpToDate>
  <CharactersWithSpaces>567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2024-11-04T12:20:00Z</dcterms:created>
  <dc:creator>王友群</dc:creator>
  <cp:lastModifiedBy>hushangrong</cp:lastModifiedBy>
  <cp:lastPrinted>2024-11-05T01:27:00Z</cp:lastPrinted>
  <dcterms:modified xsi:type="dcterms:W3CDTF">2024-12-17T07:35:40Z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3c0499016e64410ba84f7e063ddc0ac7_23</vt:lpwstr>
  </property>
</Properties>
</file>