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52BB5">
      <w:pPr>
        <w:keepNext w:val="0"/>
        <w:keepLines w:val="0"/>
        <w:widowControl/>
        <w:suppressLineNumbers w:val="0"/>
        <w:suppressAutoHyphens/>
        <w:bidi w:val="0"/>
        <w:jc w:val="both"/>
        <w:rPr>
          <w:rFonts w:hint="eastAsia" w:ascii="黑体" w:hAnsi="黑体" w:eastAsia="黑体" w:cs="黑体"/>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附件1</w:t>
      </w:r>
    </w:p>
    <w:p w14:paraId="3F2D06A3">
      <w:pPr>
        <w:keepNext w:val="0"/>
        <w:keepLines w:val="0"/>
        <w:pageBreakBefore w:val="0"/>
        <w:widowControl/>
        <w:suppressLineNumbers w:val="0"/>
        <w:suppressAutoHyphens/>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江西省人身保险银邮渠道业务自律公约</w:t>
      </w:r>
    </w:p>
    <w:p w14:paraId="6811E5B1">
      <w:pPr>
        <w:keepNext w:val="0"/>
        <w:keepLines w:val="0"/>
        <w:pageBreakBefore w:val="0"/>
        <w:widowControl/>
        <w:suppressLineNumbers w:val="0"/>
        <w:suppressAutoHyphens/>
        <w:kinsoku/>
        <w:wordWrap/>
        <w:overflowPunct/>
        <w:topLinePunct w:val="0"/>
        <w:autoSpaceDE/>
        <w:autoSpaceDN/>
        <w:bidi w:val="0"/>
        <w:adjustRightInd/>
        <w:snapToGrid/>
        <w:spacing w:line="700" w:lineRule="exact"/>
        <w:jc w:val="center"/>
        <w:textAlignment w:val="auto"/>
        <w:rPr>
          <w:rFonts w:hint="eastAsia" w:ascii="宋体" w:hAnsi="宋体" w:eastAsia="宋体" w:cs="宋体"/>
          <w:b/>
          <w:bCs/>
          <w:color w:val="000000"/>
          <w:kern w:val="0"/>
          <w:sz w:val="43"/>
          <w:szCs w:val="43"/>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（征求意见稿）</w:t>
      </w:r>
    </w:p>
    <w:p w14:paraId="68862E50">
      <w:pPr>
        <w:rPr>
          <w:rFonts w:hint="eastAsia"/>
        </w:rPr>
      </w:pPr>
    </w:p>
    <w:p w14:paraId="787AE44C">
      <w:pPr>
        <w:jc w:val="center"/>
        <w:rPr>
          <w:rFonts w:hint="eastAsia" w:ascii="黑体" w:hAnsi="黑体" w:eastAsia="黑体" w:cs="黑体"/>
          <w:b/>
          <w:bCs/>
          <w:sz w:val="32"/>
          <w:szCs w:val="40"/>
        </w:rPr>
      </w:pPr>
      <w:r>
        <w:rPr>
          <w:rFonts w:hint="eastAsia" w:ascii="黑体" w:hAnsi="黑体" w:eastAsia="黑体" w:cs="黑体"/>
          <w:b/>
          <w:bCs/>
          <w:sz w:val="28"/>
          <w:szCs w:val="36"/>
        </w:rPr>
        <w:t>第一章 总则</w:t>
      </w:r>
      <w:bookmarkStart w:id="0" w:name="_GoBack"/>
      <w:bookmarkEnd w:id="0"/>
    </w:p>
    <w:p w14:paraId="53228533">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第一条</w:t>
      </w:r>
      <w:r>
        <w:rPr>
          <w:rFonts w:hint="eastAsia" w:ascii="仿宋" w:hAnsi="仿宋" w:eastAsia="仿宋" w:cs="仿宋"/>
          <w:color w:val="000000"/>
          <w:kern w:val="0"/>
          <w:sz w:val="32"/>
          <w:szCs w:val="32"/>
          <w:lang w:val="en-US" w:eastAsia="zh-CN" w:bidi="ar"/>
        </w:rPr>
        <w:t xml:space="preserve"> 为切实保护保险消费者合法权益，持续打造“廉洁赣金”的特色品牌，营造风清气正的清廉金融环境，维护辖区银邮渠道竞争秩序，促进银邮渠道业务健康发展，根据《中华人民共和国保险法》《保险代理人监管规定》《商业银行代理保险业务管理办法》《关于规范银行代理渠道保险产品的通知》《国家金融监督管理总局办公厅关于规范人身保险公司银行代理渠道业务有关事项的通知》等有关法律、法规、规章等文件精神，结合我省实际，经辖区内全体人身险公司协商一致，江西省保险行业协会（以下简称省保协）制定《江西省人身保险银邮渠道业务自律公约》（以下简称本公约）。</w:t>
      </w:r>
    </w:p>
    <w:p w14:paraId="6B821CA2">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第二条</w:t>
      </w:r>
      <w:r>
        <w:rPr>
          <w:rFonts w:hint="eastAsia" w:ascii="仿宋" w:hAnsi="仿宋" w:eastAsia="仿宋" w:cs="仿宋"/>
          <w:color w:val="000000"/>
          <w:kern w:val="0"/>
          <w:sz w:val="32"/>
          <w:szCs w:val="32"/>
          <w:lang w:val="en-US" w:eastAsia="zh-CN" w:bidi="ar"/>
        </w:rPr>
        <w:t xml:space="preserve"> 本公约所称银邮渠道业务是指各人身险公司委托银行、邮政等兼业代理机构，在授权范围内代理销售保险产品及提供服务的经营行为。</w:t>
      </w:r>
    </w:p>
    <w:p w14:paraId="72C76109">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第三条</w:t>
      </w:r>
      <w:r>
        <w:rPr>
          <w:rFonts w:hint="eastAsia" w:ascii="仿宋" w:hAnsi="仿宋" w:eastAsia="仿宋" w:cs="仿宋"/>
          <w:color w:val="000000"/>
          <w:kern w:val="0"/>
          <w:sz w:val="32"/>
          <w:szCs w:val="32"/>
          <w:lang w:val="en-US" w:eastAsia="zh-CN" w:bidi="ar"/>
        </w:rPr>
        <w:t xml:space="preserve"> 本公约所称保险机构是指在江西省行政辖区内经营银邮渠道业务的人身保险公司。</w:t>
      </w:r>
    </w:p>
    <w:p w14:paraId="338ED557">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第四条</w:t>
      </w:r>
      <w:r>
        <w:rPr>
          <w:rFonts w:hint="eastAsia" w:ascii="仿宋" w:hAnsi="仿宋" w:eastAsia="仿宋" w:cs="仿宋"/>
          <w:color w:val="000000"/>
          <w:kern w:val="0"/>
          <w:sz w:val="32"/>
          <w:szCs w:val="32"/>
          <w:lang w:val="en-US" w:eastAsia="zh-CN" w:bidi="ar"/>
        </w:rPr>
        <w:t xml:space="preserve"> 本公约所称保险从业人员是指各保险机构银邮业务相关从业人员。</w:t>
      </w:r>
    </w:p>
    <w:p w14:paraId="0C8AE6A3">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第五条</w:t>
      </w:r>
      <w:r>
        <w:rPr>
          <w:rFonts w:hint="eastAsia" w:ascii="仿宋" w:hAnsi="仿宋" w:eastAsia="仿宋" w:cs="仿宋"/>
          <w:color w:val="000000"/>
          <w:kern w:val="0"/>
          <w:sz w:val="32"/>
          <w:szCs w:val="32"/>
          <w:lang w:val="en-US" w:eastAsia="zh-CN" w:bidi="ar"/>
        </w:rPr>
        <w:t xml:space="preserve"> 本公约作为行业内签署的自律文件，对各人身险公司具有约束力，所有在江西省行政辖区内开展银邮渠道业务经营的人身保险公司，都必须遵守本公约。</w:t>
      </w:r>
    </w:p>
    <w:p w14:paraId="085B10B7">
      <w:pPr>
        <w:jc w:val="center"/>
        <w:rPr>
          <w:rFonts w:hint="eastAsia" w:ascii="黑体" w:hAnsi="黑体" w:eastAsia="黑体" w:cs="黑体"/>
          <w:b/>
          <w:bCs/>
          <w:sz w:val="28"/>
          <w:szCs w:val="36"/>
          <w:lang w:val="en-US" w:eastAsia="zh-CN"/>
        </w:rPr>
      </w:pPr>
      <w:r>
        <w:rPr>
          <w:rFonts w:hint="eastAsia" w:ascii="黑体" w:hAnsi="黑体" w:eastAsia="黑体" w:cs="黑体"/>
          <w:b/>
          <w:bCs/>
          <w:sz w:val="28"/>
          <w:szCs w:val="36"/>
          <w:lang w:val="en-US" w:eastAsia="zh-CN"/>
        </w:rPr>
        <w:t>第二章 业务规范</w:t>
      </w:r>
    </w:p>
    <w:p w14:paraId="30747E80">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第六条</w:t>
      </w:r>
      <w:r>
        <w:rPr>
          <w:rFonts w:hint="eastAsia" w:ascii="仿宋" w:hAnsi="仿宋" w:eastAsia="仿宋" w:cs="仿宋"/>
          <w:color w:val="000000"/>
          <w:kern w:val="0"/>
          <w:sz w:val="32"/>
          <w:szCs w:val="32"/>
          <w:lang w:val="en-US" w:eastAsia="zh-CN" w:bidi="ar"/>
        </w:rPr>
        <w:t xml:space="preserve"> 保险机构与银邮代理机构签订合作协议必须符合监管部门规定，应当由双方法人机构签订书面委托代理协议，确需由一级分支机构签订委托代理协议的，该一级分支机构应当事先获得其法人机构的书面授权，并在签订协议后，及时向其法人机构备案。</w:t>
      </w:r>
    </w:p>
    <w:p w14:paraId="0EF3F5D6">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第七条</w:t>
      </w:r>
      <w:r>
        <w:rPr>
          <w:rFonts w:hint="eastAsia" w:ascii="仿宋" w:hAnsi="仿宋" w:eastAsia="仿宋" w:cs="仿宋"/>
          <w:color w:val="000000"/>
          <w:kern w:val="0"/>
          <w:sz w:val="32"/>
          <w:szCs w:val="32"/>
          <w:lang w:val="en-US" w:eastAsia="zh-CN" w:bidi="ar"/>
        </w:rPr>
        <w:t xml:space="preserve"> 保险机构不得委托未取得《保险兼业代理许可证》的银邮代理机构开展代理保险业务。合作期间内，银邮代理机构出现社会影响特别恶劣、群访群诉等社会热点事件，保险机构应按照合作协议条款提前终止合作。</w:t>
      </w:r>
    </w:p>
    <w:p w14:paraId="6EE1B404">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第八条</w:t>
      </w:r>
      <w:r>
        <w:rPr>
          <w:rFonts w:hint="eastAsia" w:ascii="仿宋" w:hAnsi="仿宋" w:eastAsia="仿宋" w:cs="仿宋"/>
          <w:color w:val="000000"/>
          <w:kern w:val="0"/>
          <w:sz w:val="32"/>
          <w:szCs w:val="32"/>
          <w:lang w:val="en-US" w:eastAsia="zh-CN" w:bidi="ar"/>
        </w:rPr>
        <w:t xml:space="preserve"> 保险机构和银邮代理机构之间签订合作代理协议应明确约定，保险机构及保险从业人员不得以任何名义任何形式，直接或者间接予以银邮代理机构及其从业人员合作协议约定以外的利益。</w:t>
      </w:r>
    </w:p>
    <w:p w14:paraId="4A98F67F">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第九条</w:t>
      </w:r>
      <w:r>
        <w:rPr>
          <w:rFonts w:hint="eastAsia" w:ascii="仿宋" w:hAnsi="仿宋" w:eastAsia="仿宋" w:cs="仿宋"/>
          <w:color w:val="000000"/>
          <w:kern w:val="0"/>
          <w:sz w:val="32"/>
          <w:szCs w:val="32"/>
          <w:lang w:val="en-US" w:eastAsia="zh-CN" w:bidi="ar"/>
        </w:rPr>
        <w:t xml:space="preserve"> 保险机构与银邮代理机构签订的委托代理协议应当包括但不限于以下主要条款：代理保险产品种类，手续费标准及支付方式，单证及宣传材料管理，客户账户及身份信息核对，反洗钱，客户信息保密，双方权利责任划分, 双方销售行为可回溯管理责任，争议的解决，危机应对及客户投诉处理机制，合作期限，协议生效、变更和终止，违约责任等等。</w:t>
      </w:r>
    </w:p>
    <w:p w14:paraId="4BFB116B">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第十条</w:t>
      </w:r>
      <w:r>
        <w:rPr>
          <w:rFonts w:hint="eastAsia" w:ascii="仿宋" w:hAnsi="仿宋" w:eastAsia="仿宋" w:cs="仿宋"/>
          <w:color w:val="000000"/>
          <w:kern w:val="0"/>
          <w:sz w:val="32"/>
          <w:szCs w:val="32"/>
          <w:lang w:val="en-US" w:eastAsia="zh-CN" w:bidi="ar"/>
        </w:rPr>
        <w:t xml:space="preserve"> 保险机构应当建立保险代理业务台账，台账至少应当包括银邮代理机构（网点）名称、代理险种、保险单号、保险期间、缴费方式、保险销售从业人员姓名及执业登记编号、所属网点、投保人及被保险人名称、保险金额、保险费等。</w:t>
      </w:r>
    </w:p>
    <w:p w14:paraId="2828FE28">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第十一条</w:t>
      </w:r>
      <w:r>
        <w:rPr>
          <w:rFonts w:hint="eastAsia" w:ascii="仿宋" w:hAnsi="仿宋" w:eastAsia="仿宋" w:cs="仿宋"/>
          <w:color w:val="000000"/>
          <w:kern w:val="0"/>
          <w:sz w:val="32"/>
          <w:szCs w:val="32"/>
          <w:lang w:val="en-US" w:eastAsia="zh-CN" w:bidi="ar"/>
        </w:rPr>
        <w:t xml:space="preserve"> 保险机构应加强银邮业务单证管理和流转，建立严格的保险单证交接签收等管理制度，严格规范单证的核销流程，减少单证的遗失和外流风险。</w:t>
      </w:r>
    </w:p>
    <w:p w14:paraId="51A55952">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第十二条</w:t>
      </w:r>
      <w:r>
        <w:rPr>
          <w:rFonts w:hint="eastAsia" w:ascii="仿宋" w:hAnsi="仿宋" w:eastAsia="仿宋" w:cs="仿宋"/>
          <w:color w:val="000000"/>
          <w:kern w:val="0"/>
          <w:sz w:val="32"/>
          <w:szCs w:val="32"/>
          <w:lang w:val="en-US" w:eastAsia="zh-CN" w:bidi="ar"/>
        </w:rPr>
        <w:t xml:space="preserve"> 保险机构在应对群访群诉、群体性退保等重大事件，应第一时间积极处理，不得推诿，避免产生负面影响使事态扩大，保险机构与银邮代理机构应建立重大事件联合应急处理机制，共同制定重大事件处理办法、指定专人成立应急小组、信息披露机制，在出现重大事件时及时妥善做好应对工作。</w:t>
      </w:r>
    </w:p>
    <w:p w14:paraId="6CFB472A">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第十三条</w:t>
      </w:r>
      <w:r>
        <w:rPr>
          <w:rFonts w:hint="eastAsia" w:ascii="仿宋" w:hAnsi="仿宋" w:eastAsia="仿宋" w:cs="仿宋"/>
          <w:color w:val="000000"/>
          <w:kern w:val="0"/>
          <w:sz w:val="32"/>
          <w:szCs w:val="32"/>
          <w:lang w:val="en-US" w:eastAsia="zh-CN" w:bidi="ar"/>
        </w:rPr>
        <w:t xml:space="preserve"> 保险机构应加强客户资料信息安全管理，保证客户合法权益，避免客户个人资料及保单信息泄露引发客户投诉给行业带来风险和负面影响。</w:t>
      </w:r>
    </w:p>
    <w:p w14:paraId="4B08ED4D">
      <w:pPr>
        <w:jc w:val="center"/>
        <w:rPr>
          <w:rFonts w:hint="eastAsia" w:ascii="黑体" w:hAnsi="黑体" w:eastAsia="黑体" w:cs="黑体"/>
          <w:b/>
          <w:bCs/>
          <w:sz w:val="28"/>
          <w:szCs w:val="36"/>
          <w:lang w:val="en-US" w:eastAsia="zh-CN"/>
        </w:rPr>
      </w:pPr>
      <w:r>
        <w:rPr>
          <w:rFonts w:hint="eastAsia" w:ascii="黑体" w:hAnsi="黑体" w:eastAsia="黑体" w:cs="黑体"/>
          <w:b/>
          <w:bCs/>
          <w:sz w:val="28"/>
          <w:szCs w:val="36"/>
          <w:lang w:val="en-US" w:eastAsia="zh-CN"/>
        </w:rPr>
        <w:t>第三章 人员管理</w:t>
      </w:r>
    </w:p>
    <w:p w14:paraId="73E7F834">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第十四条</w:t>
      </w:r>
      <w:r>
        <w:rPr>
          <w:rFonts w:hint="eastAsia" w:ascii="仿宋" w:hAnsi="仿宋" w:eastAsia="仿宋" w:cs="仿宋"/>
          <w:color w:val="000000"/>
          <w:kern w:val="0"/>
          <w:sz w:val="32"/>
          <w:szCs w:val="32"/>
          <w:lang w:val="en-US" w:eastAsia="zh-CN" w:bidi="ar"/>
        </w:rPr>
        <w:t xml:space="preserve"> 保险机构应对保险从业人员管理进行制度建设，包括但不限于日常管理、合规管理、薪酬管理等制度建设。</w:t>
      </w:r>
    </w:p>
    <w:p w14:paraId="62D2F980">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第十五条</w:t>
      </w:r>
      <w:r>
        <w:rPr>
          <w:rFonts w:hint="eastAsia" w:ascii="仿宋" w:hAnsi="仿宋" w:eastAsia="仿宋" w:cs="仿宋"/>
          <w:color w:val="000000"/>
          <w:kern w:val="0"/>
          <w:sz w:val="32"/>
          <w:szCs w:val="32"/>
          <w:lang w:val="en-US" w:eastAsia="zh-CN" w:bidi="ar"/>
        </w:rPr>
        <w:t xml:space="preserve"> 保险机构招录保险从业人员应当遵守《中华人民共和国保险法》规定，选聘录用人员应品行良好，具备从事保险代理业务所需的专业能力，无重大失信行为。保险机构应建立银邮销售人员信息档案，加强招录资料和执业登记管理。倡导合规、专业理念，形成特色企业文化，努力打造一支业务素质高、道德水准高、忠诚度高的销售队伍。</w:t>
      </w:r>
    </w:p>
    <w:p w14:paraId="110204A1">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第十六条</w:t>
      </w:r>
      <w:r>
        <w:rPr>
          <w:rFonts w:hint="eastAsia" w:ascii="仿宋" w:hAnsi="仿宋" w:eastAsia="仿宋" w:cs="仿宋"/>
          <w:color w:val="000000"/>
          <w:kern w:val="0"/>
          <w:sz w:val="32"/>
          <w:szCs w:val="32"/>
          <w:lang w:val="en-US" w:eastAsia="zh-CN" w:bidi="ar"/>
        </w:rPr>
        <w:t xml:space="preserve"> 保险从业人员的主要职责是与银邮代理机构日常联络、单证交接、业务培训、业务辅导、业务咨询、销售支持等；并配合做好客户信息变更、续期缴费、退保、满期给付及咨询投诉处理等售后服务工作，不得在银邮营业场所从事保险销售相关活动。</w:t>
      </w:r>
    </w:p>
    <w:p w14:paraId="4AF7D9C2">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第十七条</w:t>
      </w:r>
      <w:r>
        <w:rPr>
          <w:rFonts w:hint="eastAsia" w:ascii="仿宋" w:hAnsi="仿宋" w:eastAsia="仿宋" w:cs="仿宋"/>
          <w:color w:val="000000"/>
          <w:kern w:val="0"/>
          <w:sz w:val="32"/>
          <w:szCs w:val="32"/>
          <w:lang w:val="en-US" w:eastAsia="zh-CN" w:bidi="ar"/>
        </w:rPr>
        <w:t xml:space="preserve"> 保险机构应建立保险从业人员日常管理和培训管理制度。加强对日常考勤的真实性管理和纪律教育，使其具备履职必需的专业能力，树牢依法合规意识。健全完善培训档案，建立专业化、标准化的培训体系，明确培训标准和考核要求，持续提升员工队伍的专业素质。</w:t>
      </w:r>
    </w:p>
    <w:p w14:paraId="7C01ED6B">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第十八条 </w:t>
      </w:r>
      <w:r>
        <w:rPr>
          <w:rFonts w:hint="eastAsia" w:ascii="仿宋" w:hAnsi="仿宋" w:eastAsia="仿宋" w:cs="仿宋"/>
          <w:color w:val="000000"/>
          <w:kern w:val="0"/>
          <w:sz w:val="32"/>
          <w:szCs w:val="32"/>
          <w:lang w:val="en-US" w:eastAsia="zh-CN" w:bidi="ar"/>
        </w:rPr>
        <w:t>保险机构应当做好保险销售人员销售能力分级工作，结合自身实际情况建立本机构保险销售能力资质分级管理体系，以保险销售人员的专业知识、销售能力、诚信水平、品行状况等为主要标准，对所属保险销售人员进行分级，并与保险机构保险产品分级管理制度相衔接，区分销售能力资质实行差别授权，明确所属各等级保险销售人员可以销售的保险产品。</w:t>
      </w:r>
    </w:p>
    <w:p w14:paraId="70D0E24A">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第十九条</w:t>
      </w:r>
      <w:r>
        <w:rPr>
          <w:rFonts w:hint="eastAsia" w:ascii="仿宋" w:hAnsi="仿宋" w:eastAsia="仿宋" w:cs="仿宋"/>
          <w:color w:val="000000"/>
          <w:kern w:val="0"/>
          <w:sz w:val="32"/>
          <w:szCs w:val="32"/>
          <w:lang w:val="en-US" w:eastAsia="zh-CN" w:bidi="ar"/>
        </w:rPr>
        <w:t xml:space="preserve"> 保险机构应健全内部责任追究制度，加强对保险产品售前、售中、售后等环节中发现问题的责任追究力度，切实提升各级人员的合规意识和操作规范。</w:t>
      </w:r>
    </w:p>
    <w:p w14:paraId="011A438D">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第二十条</w:t>
      </w:r>
      <w:r>
        <w:rPr>
          <w:rFonts w:hint="eastAsia" w:ascii="仿宋" w:hAnsi="仿宋" w:eastAsia="仿宋" w:cs="仿宋"/>
          <w:color w:val="000000"/>
          <w:kern w:val="0"/>
          <w:sz w:val="32"/>
          <w:szCs w:val="32"/>
          <w:lang w:val="en-US" w:eastAsia="zh-CN" w:bidi="ar"/>
        </w:rPr>
        <w:t xml:space="preserve"> 保险机构不得录用有违法犯罪记录的人员，审慎录用存在征信不良记录、严重违规被解除劳动（代理）合同记录的人员，对失信从业人员及时纳入行业失信人员名单，加强从业人员诚信记录的动态监测，防范失信人员的衍生风险传递。</w:t>
      </w:r>
    </w:p>
    <w:p w14:paraId="23ADF2CA">
      <w:pPr>
        <w:jc w:val="center"/>
        <w:rPr>
          <w:rFonts w:hint="eastAsia" w:ascii="黑体" w:hAnsi="黑体" w:eastAsia="黑体" w:cs="黑体"/>
          <w:b/>
          <w:bCs/>
          <w:sz w:val="28"/>
          <w:szCs w:val="36"/>
          <w:lang w:val="en-US" w:eastAsia="zh-CN"/>
        </w:rPr>
      </w:pPr>
      <w:r>
        <w:rPr>
          <w:rFonts w:hint="eastAsia" w:ascii="黑体" w:hAnsi="黑体" w:eastAsia="黑体" w:cs="黑体"/>
          <w:b/>
          <w:bCs/>
          <w:sz w:val="28"/>
          <w:szCs w:val="36"/>
          <w:lang w:val="en-US" w:eastAsia="zh-CN"/>
        </w:rPr>
        <w:t>第四章 费用管理</w:t>
      </w:r>
    </w:p>
    <w:p w14:paraId="33899ED3">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第二十一条</w:t>
      </w:r>
      <w:r>
        <w:rPr>
          <w:rFonts w:hint="eastAsia" w:ascii="仿宋" w:hAnsi="仿宋" w:eastAsia="仿宋" w:cs="仿宋"/>
          <w:color w:val="000000"/>
          <w:kern w:val="0"/>
          <w:sz w:val="32"/>
          <w:szCs w:val="32"/>
          <w:lang w:val="en-US" w:eastAsia="zh-CN" w:bidi="ar"/>
        </w:rPr>
        <w:t xml:space="preserve"> 各保险机构银邮渠道费用管理应遵循以下原则：</w:t>
      </w:r>
    </w:p>
    <w:p w14:paraId="331CE008">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（一）独立性原则。各保险机构应实现银邮渠道业务费用的独立归口核算，不得在各销售渠道之间串用或调节费用，不得以其他渠道费用贴补银邮渠道费用。</w:t>
      </w:r>
    </w:p>
    <w:p w14:paraId="5291BA97">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二）真实性原则。各保险机构银邮渠道业务费用的各项支出应如实反映业务发生的各项经济事项，费用支出用途应有明确对象、有验证痕迹，不得随意变通费用用途和虚列经济事项套取费用，不得随意调整报销科目，不得变相加投渠道。做到内容真实、数字准确、资料可靠，符合支出实际和正常逻辑。</w:t>
      </w:r>
    </w:p>
    <w:p w14:paraId="157AF91B">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（三）合理性原则。各保险机构应加强财务制度建设，渠道日常管理、事前预算管理，对银邮渠道业务费用进行合理划分和估计，在执行中予以严格控制。</w:t>
      </w:r>
    </w:p>
    <w:p w14:paraId="3043CDF8">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（四）及时性原则。各保险机构应当严格遵守权责发生制原则，凡会计期内发生的经济事项，应当在该期内及时登记结算入账，按期编制会计报表。</w:t>
      </w:r>
    </w:p>
    <w:p w14:paraId="74ED0591">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第二十二条</w:t>
      </w:r>
      <w:r>
        <w:rPr>
          <w:rFonts w:hint="eastAsia" w:ascii="仿宋" w:hAnsi="仿宋" w:eastAsia="仿宋" w:cs="仿宋"/>
          <w:color w:val="000000"/>
          <w:kern w:val="0"/>
          <w:sz w:val="32"/>
          <w:szCs w:val="32"/>
          <w:lang w:val="en-US" w:eastAsia="zh-CN" w:bidi="ar"/>
        </w:rPr>
        <w:t xml:space="preserve"> 保险机构和银邮代理机构协商手续费用时，应当本着共同促进银邮代理机构代理保险产品市场的持续健康发展。严禁开展恶性价格竞争、恶性费用竞争与商业贿赂等违法违规行为，扰乱银邮市场秩序。</w:t>
      </w:r>
    </w:p>
    <w:p w14:paraId="5ADB3033">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第二十三条</w:t>
      </w:r>
      <w:r>
        <w:rPr>
          <w:rFonts w:hint="eastAsia" w:ascii="仿宋" w:hAnsi="仿宋" w:eastAsia="仿宋" w:cs="仿宋"/>
          <w:color w:val="000000"/>
          <w:kern w:val="0"/>
          <w:sz w:val="32"/>
          <w:szCs w:val="32"/>
          <w:lang w:val="en-US" w:eastAsia="zh-CN" w:bidi="ar"/>
        </w:rPr>
        <w:t xml:space="preserve"> 保险机构应当建立健全银邮代理渠道的业务、财务、内控及预算考核机制，严格落实“报行合一”要求，并将“报行合一”执行情况纳入内部审计项目，加大对各部门、各级分支机构的专项审计。</w:t>
      </w:r>
    </w:p>
    <w:p w14:paraId="3416F3AD">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第二十四条</w:t>
      </w:r>
      <w:r>
        <w:rPr>
          <w:rFonts w:hint="eastAsia" w:ascii="仿宋" w:hAnsi="仿宋" w:eastAsia="仿宋" w:cs="仿宋"/>
          <w:color w:val="000000"/>
          <w:kern w:val="0"/>
          <w:sz w:val="32"/>
          <w:szCs w:val="32"/>
          <w:lang w:val="en-US" w:eastAsia="zh-CN" w:bidi="ar"/>
        </w:rPr>
        <w:t xml:space="preserve"> 保险机构应当严肃财经纪律，细化银邮代理渠道费用管理办法并严格执行。按照实质重于形式的原则，明确各类费用科目列支的具体要求，根据费用事项实质与受益对象认定专属费用和共同费用，共同费用应建立费用分摊机制。</w:t>
      </w:r>
    </w:p>
    <w:p w14:paraId="601238BB">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第二十五条</w:t>
      </w:r>
      <w:r>
        <w:rPr>
          <w:rFonts w:hint="eastAsia" w:ascii="仿宋" w:hAnsi="仿宋" w:eastAsia="仿宋" w:cs="仿宋"/>
          <w:color w:val="000000"/>
          <w:kern w:val="0"/>
          <w:sz w:val="32"/>
          <w:szCs w:val="32"/>
          <w:lang w:val="en-US" w:eastAsia="zh-CN" w:bidi="ar"/>
        </w:rPr>
        <w:t xml:space="preserve"> 保险机构应当按照经监管备案的产品精算报告执行费用政策，从2025年开始对产品费用切块管理，将执行总费用分割为向银行支付的手续费、银邮专员费用、培训及客户服务费、固定费用分摊等，每项费用相互独立，不得跨项目使用，不得突破各自上限。不得直接或间接以出单费、信息费等名义向银行代理渠道支付佣金以外的任何费用。</w:t>
      </w:r>
    </w:p>
    <w:p w14:paraId="478327A7">
      <w:pPr>
        <w:jc w:val="center"/>
        <w:rPr>
          <w:rFonts w:hint="eastAsia" w:ascii="黑体" w:hAnsi="黑体" w:eastAsia="黑体" w:cs="黑体"/>
          <w:b/>
          <w:bCs/>
          <w:sz w:val="28"/>
          <w:szCs w:val="36"/>
          <w:lang w:val="en-US" w:eastAsia="zh-CN"/>
        </w:rPr>
      </w:pPr>
      <w:r>
        <w:rPr>
          <w:rFonts w:hint="eastAsia" w:ascii="黑体" w:hAnsi="黑体" w:eastAsia="黑体" w:cs="黑体"/>
          <w:b/>
          <w:bCs/>
          <w:sz w:val="28"/>
          <w:szCs w:val="36"/>
          <w:lang w:val="en-US" w:eastAsia="zh-CN"/>
        </w:rPr>
        <w:t>第五章 自律管理</w:t>
      </w:r>
    </w:p>
    <w:p w14:paraId="7C544A41">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第二十六条</w:t>
      </w:r>
      <w:r>
        <w:rPr>
          <w:rFonts w:hint="eastAsia" w:ascii="仿宋" w:hAnsi="仿宋" w:eastAsia="仿宋" w:cs="仿宋"/>
          <w:color w:val="000000"/>
          <w:kern w:val="0"/>
          <w:sz w:val="32"/>
          <w:szCs w:val="32"/>
          <w:lang w:val="en-US" w:eastAsia="zh-CN" w:bidi="ar"/>
        </w:rPr>
        <w:t xml:space="preserve"> 相互监督。各保险机构发现同业公司过度投放费用、变通投放费用、超过最高费率标准、恶意挖角等影响行业公平竞争的行为，要及时主动通过协会专用邮箱等方式向省保协反映和举报。</w:t>
      </w:r>
    </w:p>
    <w:p w14:paraId="7C94393C">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第二十七条</w:t>
      </w:r>
      <w:r>
        <w:rPr>
          <w:rFonts w:hint="eastAsia" w:ascii="仿宋" w:hAnsi="仿宋" w:eastAsia="仿宋" w:cs="仿宋"/>
          <w:color w:val="000000"/>
          <w:kern w:val="0"/>
          <w:sz w:val="32"/>
          <w:szCs w:val="32"/>
          <w:lang w:val="en-US" w:eastAsia="zh-CN" w:bidi="ar"/>
        </w:rPr>
        <w:t xml:space="preserve"> 自律检查。省保协可不定期开展自律检查，内容包含但不限于制度建设、培训档案、职场访问、客户访问，业务系统核对、销售末端检查等，接受检查的保险机构应积极配合。省保协对检查中收集到的信息负保密责任。</w:t>
      </w:r>
    </w:p>
    <w:p w14:paraId="03D69CB3">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第二十八条</w:t>
      </w:r>
      <w:r>
        <w:rPr>
          <w:rFonts w:hint="eastAsia" w:ascii="仿宋" w:hAnsi="仿宋" w:eastAsia="仿宋" w:cs="仿宋"/>
          <w:color w:val="000000"/>
          <w:kern w:val="0"/>
          <w:sz w:val="32"/>
          <w:szCs w:val="32"/>
          <w:lang w:val="en-US" w:eastAsia="zh-CN" w:bidi="ar"/>
        </w:rPr>
        <w:t xml:space="preserve"> 涉及重大违规或涉及重大投诉举报的保险机构，省保协可视情况随时进行自律检查。</w:t>
      </w:r>
    </w:p>
    <w:p w14:paraId="20C5DEFD">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第二十九条</w:t>
      </w:r>
      <w:r>
        <w:rPr>
          <w:rFonts w:hint="eastAsia" w:ascii="仿宋" w:hAnsi="仿宋" w:eastAsia="仿宋" w:cs="仿宋"/>
          <w:color w:val="000000"/>
          <w:kern w:val="0"/>
          <w:sz w:val="32"/>
          <w:szCs w:val="32"/>
          <w:lang w:val="en-US" w:eastAsia="zh-CN" w:bidi="ar"/>
        </w:rPr>
        <w:t xml:space="preserve"> 被检查保险机构相关人员不提供自律检查所需的业务资料、信息，或提供虚假信息，或以其他方式不配合行业自律检查，甚至阻挠、妨碍检查工作正常进行的，省保协将采取警告、业内批评、公开谴责等自律性惩戒措施，情节严重的将报送至国家金融监督管理总局江西监管局。</w:t>
      </w:r>
    </w:p>
    <w:p w14:paraId="561E02CF">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第三十条</w:t>
      </w:r>
      <w:r>
        <w:rPr>
          <w:rFonts w:hint="eastAsia" w:ascii="仿宋" w:hAnsi="仿宋" w:eastAsia="仿宋" w:cs="仿宋"/>
          <w:color w:val="000000"/>
          <w:kern w:val="0"/>
          <w:sz w:val="32"/>
          <w:szCs w:val="32"/>
          <w:lang w:val="en-US" w:eastAsia="zh-CN" w:bidi="ar"/>
        </w:rPr>
        <w:t xml:space="preserve"> 存在违反公约情形的保险机构，一经查实，将视情节轻重进行分类处置，递进加大惩戒力度，视情况追究相应违约责任，通过以下方式进行自律性惩戒：</w:t>
      </w:r>
    </w:p>
    <w:p w14:paraId="37385BAA">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（一）约谈提示，限期整改。</w:t>
      </w:r>
    </w:p>
    <w:p w14:paraId="33E15D67">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（二）书面检讨，业内通报，建议内部问责。</w:t>
      </w:r>
    </w:p>
    <w:p w14:paraId="005B01BF">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（三）向国家金融监督管理总局江西监管局上报保险机构的违约行为。</w:t>
      </w:r>
    </w:p>
    <w:p w14:paraId="3E9530AF">
      <w:pPr>
        <w:keepNext w:val="0"/>
        <w:keepLines w:val="0"/>
        <w:pageBreakBefore w:val="0"/>
        <w:widowControl/>
        <w:suppressLineNumbers w:val="0"/>
        <w:suppressAutoHyphens/>
        <w:kinsoku/>
        <w:wordWrap/>
        <w:overflowPunct/>
        <w:topLinePunct w:val="0"/>
        <w:autoSpaceDE/>
        <w:autoSpaceDN/>
        <w:bidi w:val="0"/>
        <w:adjustRightInd/>
        <w:snapToGrid/>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（四）违反金融法律法规的，移交相关部门处理。</w:t>
      </w:r>
    </w:p>
    <w:p w14:paraId="3E2E6DCC">
      <w:pPr>
        <w:jc w:val="center"/>
        <w:rPr>
          <w:rFonts w:hint="eastAsia" w:ascii="黑体" w:hAnsi="黑体" w:eastAsia="黑体" w:cs="黑体"/>
          <w:b/>
          <w:bCs/>
          <w:sz w:val="28"/>
          <w:szCs w:val="36"/>
          <w:lang w:val="en-US" w:eastAsia="zh-CN"/>
        </w:rPr>
      </w:pPr>
      <w:r>
        <w:rPr>
          <w:rFonts w:hint="eastAsia" w:ascii="黑体" w:hAnsi="黑体" w:eastAsia="黑体" w:cs="黑体"/>
          <w:b/>
          <w:bCs/>
          <w:sz w:val="28"/>
          <w:szCs w:val="36"/>
          <w:lang w:val="en-US" w:eastAsia="zh-CN"/>
        </w:rPr>
        <w:t>第六章 附 则</w:t>
      </w:r>
    </w:p>
    <w:p w14:paraId="06D31288">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第三十一条</w:t>
      </w:r>
      <w:r>
        <w:rPr>
          <w:rFonts w:hint="eastAsia" w:ascii="仿宋" w:hAnsi="仿宋" w:eastAsia="仿宋" w:cs="仿宋"/>
          <w:color w:val="000000"/>
          <w:kern w:val="0"/>
          <w:sz w:val="32"/>
          <w:szCs w:val="32"/>
          <w:lang w:val="en-US" w:eastAsia="zh-CN" w:bidi="ar"/>
        </w:rPr>
        <w:t xml:space="preserve"> 本公约最终解释权归江西省保险行业协会个险专委会所有。</w:t>
      </w:r>
    </w:p>
    <w:p w14:paraId="3E8F4F0E">
      <w:pPr>
        <w:keepNext w:val="0"/>
        <w:keepLines w:val="0"/>
        <w:pageBreakBefore w:val="0"/>
        <w:widowControl/>
        <w:suppressLineNumbers w:val="0"/>
        <w:suppressAutoHyphens/>
        <w:kinsoku/>
        <w:wordWrap/>
        <w:overflowPunct/>
        <w:topLinePunct w:val="0"/>
        <w:autoSpaceDE/>
        <w:autoSpaceDN/>
        <w:bidi w:val="0"/>
        <w:adjustRightInd/>
        <w:snapToGrid/>
        <w:ind w:firstLine="643" w:firstLineChars="200"/>
        <w:jc w:val="left"/>
        <w:textAlignment w:val="auto"/>
        <w:rPr>
          <w:rFonts w:hint="default"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第三十二条</w:t>
      </w:r>
      <w:r>
        <w:rPr>
          <w:rFonts w:hint="eastAsia" w:ascii="仿宋" w:hAnsi="仿宋" w:eastAsia="仿宋" w:cs="仿宋"/>
          <w:color w:val="000000"/>
          <w:kern w:val="0"/>
          <w:sz w:val="32"/>
          <w:szCs w:val="32"/>
          <w:lang w:val="en-US" w:eastAsia="zh-CN" w:bidi="ar"/>
        </w:rPr>
        <w:t xml:space="preserve"> 本公约自印发之日正式实施。</w:t>
      </w:r>
    </w:p>
    <w:sectPr>
      <w:pgSz w:w="11906" w:h="16838"/>
      <w:pgMar w:top="2098" w:right="147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03306D"/>
    <w:rsid w:val="000B3BCF"/>
    <w:rsid w:val="004277C9"/>
    <w:rsid w:val="01EC5C3E"/>
    <w:rsid w:val="03CE5F43"/>
    <w:rsid w:val="06271AD2"/>
    <w:rsid w:val="0DA41AC3"/>
    <w:rsid w:val="0E370B89"/>
    <w:rsid w:val="0E8813E4"/>
    <w:rsid w:val="0F6E2388"/>
    <w:rsid w:val="0FD03043"/>
    <w:rsid w:val="11867E5D"/>
    <w:rsid w:val="13622204"/>
    <w:rsid w:val="14E1184E"/>
    <w:rsid w:val="1593014F"/>
    <w:rsid w:val="17092996"/>
    <w:rsid w:val="1AC612CA"/>
    <w:rsid w:val="1E1E766F"/>
    <w:rsid w:val="23696C97"/>
    <w:rsid w:val="2418246B"/>
    <w:rsid w:val="2603306D"/>
    <w:rsid w:val="27982240"/>
    <w:rsid w:val="2BF832AE"/>
    <w:rsid w:val="30AE6631"/>
    <w:rsid w:val="316513E5"/>
    <w:rsid w:val="33042538"/>
    <w:rsid w:val="330E33B7"/>
    <w:rsid w:val="337771AE"/>
    <w:rsid w:val="35944047"/>
    <w:rsid w:val="35ED7BFB"/>
    <w:rsid w:val="36F80606"/>
    <w:rsid w:val="39AD1B7B"/>
    <w:rsid w:val="3EF26282"/>
    <w:rsid w:val="4DEF230B"/>
    <w:rsid w:val="4F5D5052"/>
    <w:rsid w:val="52E2243E"/>
    <w:rsid w:val="54BF40B9"/>
    <w:rsid w:val="56A313B2"/>
    <w:rsid w:val="57566F57"/>
    <w:rsid w:val="57E02CC4"/>
    <w:rsid w:val="581D7A74"/>
    <w:rsid w:val="60636240"/>
    <w:rsid w:val="636C365E"/>
    <w:rsid w:val="6C327B3B"/>
    <w:rsid w:val="6C8163CC"/>
    <w:rsid w:val="6DA93E2C"/>
    <w:rsid w:val="6E26547D"/>
    <w:rsid w:val="70CD6084"/>
    <w:rsid w:val="717464FF"/>
    <w:rsid w:val="76B37ACA"/>
    <w:rsid w:val="78811502"/>
    <w:rsid w:val="78FA19E0"/>
    <w:rsid w:val="7DE6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3491</Words>
  <Characters>3494</Characters>
  <Lines>0</Lines>
  <Paragraphs>0</Paragraphs>
  <TotalTime>177</TotalTime>
  <ScaleCrop>false</ScaleCrop>
  <LinksUpToDate>false</LinksUpToDate>
  <CharactersWithSpaces>3595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2025-11-28T08:16:00Z</dcterms:created>
  <dc:creator>艾龙</dc:creator>
  <cp:lastModifiedBy>和政政在一起的每一天</cp:lastModifiedBy>
  <cp:lastPrinted>2025-12-02T02:50:00Z</cp:lastPrinted>
  <dcterms:modified xsi:type="dcterms:W3CDTF">2025-12-02T06:55:49Z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BCF5C4E5AA254AB491D6D0BA198D16A9_13</vt:lpwstr>
  </property>
  <property fmtid="{D5CDD505-2E9C-101B-9397-08002B2CF9AE}" pid="4" name="KSOTemplateDocerSaveRecord">
    <vt:lpwstr>eyJoZGlkIjoiOTY4MGExYTFkYzMxZWFmZWJlMTVhMjRmM2Q1MmQ3ZDIiLCJ1c2VySWQiOiI5MjM4NjE4MDAifQ==</vt:lpwstr>
  </property>
</Properties>
</file>