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1B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outlineLvl w:val="0"/>
        <w:rPr>
          <w:rFonts w:hint="default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58A69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江西省政策性养殖业保险理赔</w:t>
      </w:r>
    </w:p>
    <w:p w14:paraId="58E49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规范服务标准</w:t>
      </w:r>
    </w:p>
    <w:p w14:paraId="08451AEC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0FE154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第一章 </w:t>
      </w: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总则</w:t>
      </w:r>
    </w:p>
    <w:p w14:paraId="5410BC1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outlineLvl w:val="1"/>
        <w:rPr>
          <w:rFonts w:hint="eastAsia" w:ascii="Calibri Light" w:hAnsi="Calibri Light" w:eastAsia="楷体" w:cs="Times New Roman"/>
          <w:kern w:val="2"/>
          <w:sz w:val="32"/>
          <w:szCs w:val="32"/>
          <w:lang w:eastAsia="zh-CN" w:bidi="ar-SA"/>
        </w:rPr>
      </w:pPr>
      <w:r>
        <w:rPr>
          <w:rFonts w:hint="eastAsia" w:ascii="Calibri Light" w:hAnsi="Calibri Light" w:eastAsia="楷体" w:cs="Times New Roman"/>
          <w:kern w:val="2"/>
          <w:sz w:val="32"/>
          <w:szCs w:val="32"/>
          <w:lang w:eastAsia="zh-CN" w:bidi="ar-SA"/>
        </w:rPr>
        <w:t>一、制定目的</w:t>
      </w:r>
    </w:p>
    <w:p w14:paraId="589BBB56">
      <w:pPr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为切实提升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养殖险</w:t>
      </w:r>
      <w:r>
        <w:rPr>
          <w:rFonts w:hint="eastAsia" w:ascii="仿宋_GB2312" w:hAnsi="仿宋" w:eastAsia="仿宋_GB2312"/>
          <w:sz w:val="32"/>
          <w:szCs w:val="32"/>
        </w:rPr>
        <w:t>理赔服务质量，规范农业保险理赔案件处理流程，提高理赔工作效率，根据国务院《农业保险条例》、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原</w:t>
      </w:r>
      <w:r>
        <w:rPr>
          <w:rFonts w:hint="eastAsia" w:ascii="仿宋_GB2312" w:hAnsi="仿宋" w:eastAsia="仿宋_GB2312"/>
          <w:sz w:val="32"/>
          <w:szCs w:val="32"/>
        </w:rPr>
        <w:t>中国银保监会《农业保险承保理赔管理办法》，特制订本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理赔规范</w:t>
      </w:r>
      <w:r>
        <w:rPr>
          <w:rFonts w:hint="eastAsia" w:ascii="仿宋_GB2312" w:hAnsi="仿宋" w:eastAsia="仿宋_GB2312"/>
          <w:sz w:val="32"/>
          <w:szCs w:val="32"/>
        </w:rPr>
        <w:t>。</w:t>
      </w:r>
      <w:bookmarkStart w:id="0" w:name="_Toc420676615"/>
    </w:p>
    <w:p w14:paraId="49F08F8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outlineLvl w:val="1"/>
        <w:rPr>
          <w:rFonts w:hint="eastAsia" w:ascii="Calibri Light" w:hAnsi="Calibri Light" w:eastAsia="楷体" w:cs="Times New Roman"/>
          <w:kern w:val="2"/>
          <w:sz w:val="32"/>
          <w:szCs w:val="32"/>
          <w:lang w:eastAsia="zh-CN" w:bidi="ar-SA"/>
        </w:rPr>
      </w:pPr>
      <w:bookmarkStart w:id="1" w:name="_Toc29518"/>
      <w:r>
        <w:rPr>
          <w:rFonts w:hint="eastAsia" w:ascii="Calibri Light" w:hAnsi="Calibri Light" w:eastAsia="楷体" w:cs="Times New Roman"/>
          <w:kern w:val="2"/>
          <w:sz w:val="32"/>
          <w:szCs w:val="32"/>
          <w:lang w:eastAsia="zh-CN" w:bidi="ar-SA"/>
        </w:rPr>
        <w:t>二、理赔管理</w:t>
      </w:r>
      <w:bookmarkEnd w:id="0"/>
      <w:bookmarkEnd w:id="1"/>
    </w:p>
    <w:p w14:paraId="21543F40">
      <w:pPr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保险机构</w:t>
      </w:r>
      <w:r>
        <w:rPr>
          <w:rFonts w:hint="eastAsia" w:ascii="仿宋_GB2312" w:hAnsi="仿宋" w:eastAsia="仿宋_GB2312"/>
          <w:sz w:val="32"/>
          <w:szCs w:val="32"/>
        </w:rPr>
        <w:t>应严格遵照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本规范</w:t>
      </w:r>
      <w:r>
        <w:rPr>
          <w:rFonts w:hint="eastAsia" w:ascii="仿宋_GB2312" w:hAnsi="仿宋" w:eastAsia="仿宋_GB2312"/>
          <w:sz w:val="32"/>
          <w:szCs w:val="32"/>
        </w:rPr>
        <w:t>执行，并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可</w:t>
      </w:r>
      <w:r>
        <w:rPr>
          <w:rFonts w:hint="eastAsia" w:ascii="仿宋_GB2312" w:hAnsi="仿宋" w:eastAsia="仿宋_GB2312"/>
          <w:sz w:val="32"/>
          <w:szCs w:val="32"/>
        </w:rPr>
        <w:t>结合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自身</w:t>
      </w:r>
      <w:r>
        <w:rPr>
          <w:rFonts w:hint="eastAsia" w:ascii="仿宋_GB2312" w:hAnsi="仿宋" w:eastAsia="仿宋_GB2312"/>
          <w:sz w:val="32"/>
          <w:szCs w:val="32"/>
        </w:rPr>
        <w:t>实际出台相关细化管理制度。</w:t>
      </w:r>
    </w:p>
    <w:p w14:paraId="51CDFA05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二</w:t>
      </w:r>
      <w:r>
        <w:rPr>
          <w:rFonts w:hint="eastAsia" w:ascii="仿宋_GB2312" w:hAnsi="仿宋" w:eastAsia="仿宋_GB2312"/>
          <w:sz w:val="32"/>
          <w:szCs w:val="32"/>
        </w:rPr>
        <w:t>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开办养殖险的保险机构</w:t>
      </w:r>
      <w:r>
        <w:rPr>
          <w:rFonts w:hint="eastAsia" w:ascii="仿宋_GB2312" w:hAnsi="仿宋" w:eastAsia="仿宋_GB2312"/>
          <w:sz w:val="32"/>
          <w:szCs w:val="32"/>
        </w:rPr>
        <w:t>应配置满足农业保险理赔服务需要的人员、设备、工具等理赔资源，加强对理赔人员的业务知识和理赔技能培训，严格按照理赔指引工作流程和要点规范农险理赔工作。</w:t>
      </w:r>
      <w:bookmarkStart w:id="2" w:name="_Toc420676616"/>
    </w:p>
    <w:p w14:paraId="669D998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outlineLvl w:val="1"/>
        <w:rPr>
          <w:rFonts w:hint="eastAsia" w:ascii="Calibri Light" w:hAnsi="Calibri Light" w:eastAsia="楷体" w:cs="Times New Roman"/>
          <w:kern w:val="2"/>
          <w:sz w:val="32"/>
          <w:szCs w:val="32"/>
          <w:lang w:eastAsia="zh-CN" w:bidi="ar-SA"/>
        </w:rPr>
      </w:pPr>
      <w:bookmarkStart w:id="3" w:name="_Toc26910"/>
      <w:r>
        <w:rPr>
          <w:rFonts w:hint="eastAsia" w:ascii="Calibri Light" w:hAnsi="Calibri Light" w:eastAsia="楷体" w:cs="Times New Roman"/>
          <w:kern w:val="2"/>
          <w:sz w:val="32"/>
          <w:szCs w:val="32"/>
          <w:lang w:eastAsia="zh-CN" w:bidi="ar-SA"/>
        </w:rPr>
        <w:t>三、理赔原则</w:t>
      </w:r>
      <w:bookmarkEnd w:id="2"/>
      <w:bookmarkEnd w:id="3"/>
    </w:p>
    <w:p w14:paraId="482EA309">
      <w:pPr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农业保险理赔要始终以保障被保险人合法权益为根本出发点，遵循“主动、迅速、科学、合理”的理赔原则，依法合规经营，做到</w:t>
      </w:r>
      <w:r>
        <w:rPr>
          <w:rFonts w:hint="eastAsia" w:ascii="仿宋_GB2312" w:hAnsi="仿宋" w:eastAsia="仿宋_GB2312"/>
          <w:b/>
          <w:sz w:val="32"/>
          <w:szCs w:val="32"/>
        </w:rPr>
        <w:t>“定损到户”、“理赔到户”、“理赔结果公开”。</w:t>
      </w:r>
      <w:r>
        <w:rPr>
          <w:rFonts w:hint="eastAsia" w:ascii="仿宋_GB2312" w:hAnsi="仿宋" w:eastAsia="仿宋_GB2312"/>
          <w:b w:val="0"/>
          <w:bCs/>
          <w:sz w:val="32"/>
          <w:szCs w:val="32"/>
        </w:rPr>
        <w:t>农业保险应当重合同、守信用，</w:t>
      </w:r>
      <w:r>
        <w:rPr>
          <w:rFonts w:hint="eastAsia" w:ascii="仿宋_GB2312" w:hAnsi="仿宋" w:eastAsia="仿宋_GB2312"/>
          <w:sz w:val="32"/>
          <w:szCs w:val="32"/>
        </w:rPr>
        <w:t>确保农业保险赔付案件处理规范、及时，足额将赔款支付给被保险人，不得平均赔付、协议赔付。</w:t>
      </w:r>
    </w:p>
    <w:p w14:paraId="1ED7DCA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jc w:val="center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第二章 理赔流程图</w:t>
      </w:r>
      <w:r>
        <w:drawing>
          <wp:inline distT="0" distB="0" distL="114300" distR="114300">
            <wp:extent cx="5728970" cy="2446655"/>
            <wp:effectExtent l="0" t="0" r="508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8970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B6B2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第</w:t>
      </w:r>
      <w:r>
        <w:rPr>
          <w:rFonts w:hint="eastAsia" w:asci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三</w:t>
      </w: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章</w:t>
      </w:r>
      <w:r>
        <w:rPr>
          <w:rFonts w:hint="eastAsia" w:asci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理赔</w:t>
      </w: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规范内容</w:t>
      </w:r>
    </w:p>
    <w:p w14:paraId="75C9156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textAlignment w:val="auto"/>
        <w:outlineLvl w:val="1"/>
        <w:rPr>
          <w:rFonts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一、</w:t>
      </w:r>
      <w:r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理赔准备</w:t>
      </w:r>
    </w:p>
    <w:p w14:paraId="7B59936E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理赔方案制定</w:t>
      </w:r>
    </w:p>
    <w:p w14:paraId="5E245A63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保险机构应结合政策性养殖险特点，针对不同养殖品种（如生猪、家禽、水产等），分析其面临的自然灾害、疫病、意外事故等风险，制定科学合理的理赔方案。方案需明确理赔流程、定损标准、赔偿计算方式、责任免除情形等内容。</w:t>
      </w:r>
    </w:p>
    <w:p w14:paraId="249F1CC6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人员与设备准备</w:t>
      </w:r>
    </w:p>
    <w:p w14:paraId="152D3120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保险机构应配备专业的理赔人员，这些人员需熟悉政策性养殖行业知识、保险条款及理赔流程。同时，准备必要的定损设备，如卷尺等，以及查勘手机、车辆等辅助查勘设备，确保理赔工作顺利开展。</w:t>
      </w:r>
    </w:p>
    <w:p w14:paraId="1A7DB528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textAlignment w:val="auto"/>
        <w:outlineLvl w:val="1"/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报案受理</w:t>
      </w:r>
    </w:p>
    <w:p w14:paraId="1642AF29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报案渠道</w:t>
      </w:r>
    </w:p>
    <w:p w14:paraId="2551E397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保险机构应向社会公布报案电话、线上报案平台（如APP、微信小程序等）等多种报案渠道，方便投保人/被保险人及时报案。</w:t>
      </w:r>
    </w:p>
    <w:p w14:paraId="0C7479EB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报案信息采集</w:t>
      </w:r>
    </w:p>
    <w:p w14:paraId="4BCAD4B1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接到报案后，理赔人员或客服人员需及时、准确采集以下信息：</w:t>
      </w:r>
    </w:p>
    <w:p w14:paraId="5E682961">
      <w:pPr>
        <w:pStyle w:val="5"/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投保人/被保险人姓名、身份证号码（或其他身份证明信息）、联系方式；</w:t>
      </w:r>
    </w:p>
    <w:p w14:paraId="3FB5501F">
      <w:pPr>
        <w:pStyle w:val="5"/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投保标的名称、品种、数量、养殖地点；</w:t>
      </w:r>
    </w:p>
    <w:p w14:paraId="53E008F6">
      <w:pPr>
        <w:pStyle w:val="5"/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事故发生时间、地点、原因及损失情况；</w:t>
      </w:r>
    </w:p>
    <w:p w14:paraId="6E61D592">
      <w:pPr>
        <w:pStyle w:val="5"/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其他相关信息。</w:t>
      </w:r>
    </w:p>
    <w:p w14:paraId="74F9BF66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outlineLvl w:val="2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报案登记与告知</w:t>
      </w:r>
    </w:p>
    <w:p w14:paraId="0B6CEA94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理赔人员应对报案信息进行登记，形成报案记录，并及时告知投保人/被保险人后续理赔流程、所需提供的材料以及理赔时限等。</w:t>
      </w:r>
    </w:p>
    <w:p w14:paraId="62D56A25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textAlignment w:val="auto"/>
        <w:outlineLvl w:val="1"/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三、</w:t>
      </w:r>
      <w:r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查勘定损</w:t>
      </w:r>
    </w:p>
    <w:p w14:paraId="5167B876">
      <w:pPr>
        <w:pStyle w:val="4"/>
        <w:keepNext w:val="0"/>
        <w:keepLines w:val="0"/>
        <w:pageBreakBefore w:val="0"/>
        <w:widowControl w:val="0"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查勘准备</w:t>
      </w:r>
    </w:p>
    <w:p w14:paraId="5843E19B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理赔人员在接到查勘任务后，应准备好查勘所需的工具、单证等，并与投保人/被保险人约定查勘时间和地点。</w:t>
      </w:r>
    </w:p>
    <w:p w14:paraId="44AD469F">
      <w:pPr>
        <w:pStyle w:val="4"/>
        <w:keepNext w:val="0"/>
        <w:keepLines w:val="0"/>
        <w:pageBreakBefore w:val="0"/>
        <w:widowControl w:val="0"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现场查勘</w:t>
      </w:r>
    </w:p>
    <w:p w14:paraId="64A3B15E">
      <w:pPr>
        <w:pStyle w:val="5"/>
        <w:keepNext w:val="0"/>
        <w:keepLines w:val="0"/>
        <w:pageBreakBefore w:val="0"/>
        <w:widowControl w:val="0"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查勘人员到达现场后，需核实投保人/被保险人身份、投保标的信息，确认事故是否在保险责任范围内。</w:t>
      </w:r>
    </w:p>
    <w:p w14:paraId="4C94311B">
      <w:pPr>
        <w:pStyle w:val="5"/>
        <w:keepNext w:val="0"/>
        <w:keepLines w:val="0"/>
        <w:pageBreakBefore w:val="0"/>
        <w:widowControl w:val="0"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对事故现场进行拍照、录像，记录事故发生的具体情况，包括损失标的的数量、状态、位置等。</w:t>
      </w:r>
    </w:p>
    <w:p w14:paraId="158B9287">
      <w:pPr>
        <w:pStyle w:val="5"/>
        <w:keepNext w:val="0"/>
        <w:keepLines w:val="0"/>
        <w:pageBreakBefore w:val="0"/>
        <w:widowControl w:val="0"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询问投保人/被保险人事故发生的详细经过，了解是否采取了必要的施救措施，并收集相关证明材料（如兽医诊断证明等）。</w:t>
      </w:r>
    </w:p>
    <w:p w14:paraId="7E78B089">
      <w:pPr>
        <w:pStyle w:val="4"/>
        <w:keepNext w:val="0"/>
        <w:keepLines w:val="0"/>
        <w:pageBreakBefore w:val="0"/>
        <w:widowControl w:val="0"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定损标准与方法</w:t>
      </w:r>
    </w:p>
    <w:p w14:paraId="7AD93E91">
      <w:pPr>
        <w:pStyle w:val="5"/>
        <w:keepNext w:val="0"/>
        <w:keepLines w:val="0"/>
        <w:pageBreakBefore w:val="0"/>
        <w:widowControl w:val="0"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保险机构应根据不同的养殖品种和事故类型，制定明确的定损标准。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例如，生猪因疫病死亡的，可根据生猪的体重、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体长、参照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市场价格等确定损失金额；</w:t>
      </w:r>
      <w:bookmarkStart w:id="4" w:name="_GoBack"/>
      <w:bookmarkEnd w:id="4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水产养殖因水质污染导致损失的，可根据养殖面积、损失率等进行定损。</w:t>
      </w:r>
    </w:p>
    <w:p w14:paraId="3AE5E2CD">
      <w:pPr>
        <w:pStyle w:val="5"/>
        <w:keepNext w:val="0"/>
        <w:keepLines w:val="0"/>
        <w:pageBreakBefore w:val="0"/>
        <w:widowControl w:val="0"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定损过程中，可采用抽样定损、专家评估等方法，确保定损结果公平、合理。对于重大损失案件，可邀请农业农村部门、畜牧兽医机构等专业人员参与定损。</w:t>
      </w:r>
    </w:p>
    <w:p w14:paraId="05F38ECD">
      <w:pPr>
        <w:pStyle w:val="4"/>
        <w:keepNext w:val="0"/>
        <w:keepLines w:val="0"/>
        <w:pageBreakBefore w:val="0"/>
        <w:widowControl w:val="0"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定损结果确认</w:t>
      </w:r>
    </w:p>
    <w:p w14:paraId="34469D6A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查勘定损完成后，查勘人员应将定损结果告知投保人/被保险人，由其签字确认。如投保人/被保险人对定损结果有异议，保险机构应进行复核，并将复核结果及时反馈。</w:t>
      </w:r>
    </w:p>
    <w:p w14:paraId="04A4FB0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textAlignment w:val="auto"/>
        <w:outlineLvl w:val="1"/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四、</w:t>
      </w:r>
      <w:r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损失确认与理算</w:t>
      </w:r>
    </w:p>
    <w:p w14:paraId="277C82CC">
      <w:pPr>
        <w:pStyle w:val="4"/>
        <w:keepNext w:val="0"/>
        <w:keepLines w:val="0"/>
        <w:pageBreakBefore w:val="0"/>
        <w:widowControl w:val="0"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outlineLvl w:val="2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损失确认</w:t>
      </w:r>
    </w:p>
    <w:p w14:paraId="625083C0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保险机构根据查勘定损结果，结合保险条款，确认最终的损失金额。对于属于保险责任的，应予以赔付；不属于保险责任的，应向投保人/被保险人说明理由，并出具拒赔通知书。</w:t>
      </w:r>
    </w:p>
    <w:p w14:paraId="069E45B8">
      <w:pPr>
        <w:pStyle w:val="4"/>
        <w:keepNext w:val="0"/>
        <w:keepLines w:val="0"/>
        <w:pageBreakBefore w:val="0"/>
        <w:widowControl w:val="0"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outlineLvl w:val="2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赔偿理算</w:t>
      </w:r>
    </w:p>
    <w:p w14:paraId="0BB9104C">
      <w:pPr>
        <w:pStyle w:val="5"/>
        <w:keepNext w:val="0"/>
        <w:keepLines w:val="0"/>
        <w:pageBreakBefore w:val="0"/>
        <w:widowControl w:val="0"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理算人员根据确认的损失金额、保险金额、免赔率（额）等，按照保险合同约定的赔偿计算方式进行理算，确定赔偿金额。</w:t>
      </w:r>
    </w:p>
    <w:p w14:paraId="4519496A">
      <w:pPr>
        <w:pStyle w:val="5"/>
        <w:keepNext w:val="0"/>
        <w:keepLines w:val="0"/>
        <w:pageBreakBefore w:val="0"/>
        <w:widowControl w:val="0"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理算过程中，应严格遵守保险条款，确保理算结果准确无误。</w:t>
      </w:r>
    </w:p>
    <w:p w14:paraId="52DE26B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textAlignment w:val="auto"/>
        <w:outlineLvl w:val="1"/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五、</w:t>
      </w:r>
      <w:r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理赔公示</w:t>
      </w:r>
    </w:p>
    <w:p w14:paraId="210D03D9">
      <w:pPr>
        <w:pStyle w:val="4"/>
        <w:keepNext w:val="0"/>
        <w:keepLines w:val="0"/>
        <w:pageBreakBefore w:val="0"/>
        <w:widowControl w:val="0"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outlineLvl w:val="2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公示范围与方式</w:t>
      </w:r>
    </w:p>
    <w:p w14:paraId="512FC19B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对于集体组织投保的养殖险业务，保险机构应在村（组）或农业生产经营组织公共区域的公告栏、宣传栏等明显位置张贴理赔公示材料，或通过政府公共网站、行业信息平台等进行公示。</w:t>
      </w:r>
    </w:p>
    <w:p w14:paraId="3C63EA5C">
      <w:pPr>
        <w:pStyle w:val="4"/>
        <w:keepNext w:val="0"/>
        <w:keepLines w:val="0"/>
        <w:pageBreakBefore w:val="0"/>
        <w:widowControl w:val="0"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outlineLvl w:val="2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公示内容</w:t>
      </w:r>
    </w:p>
    <w:p w14:paraId="37D94406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公示内容应包括被保险人姓名、所在村（组）、标的种类、损失数量、定损金额、赔偿金额等信息，并明确列示意见反馈方式和期限。</w:t>
      </w:r>
    </w:p>
    <w:p w14:paraId="3F102EAC">
      <w:pPr>
        <w:pStyle w:val="4"/>
        <w:keepNext w:val="0"/>
        <w:keepLines w:val="0"/>
        <w:pageBreakBefore w:val="0"/>
        <w:widowControl w:val="0"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outlineLvl w:val="2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公示时间与要求</w:t>
      </w:r>
    </w:p>
    <w:p w14:paraId="1D453A42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公示时间不得少于3天。公示期间，如收到对公示内容的反馈意见，保险机构应及时核查、处理，并将处理结果反馈相关人员。同时，保险机构应将公示情况拍照留存，照片需清晰显示公示内容、公示地点和拍摄日期。</w:t>
      </w:r>
    </w:p>
    <w:p w14:paraId="28858EA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textAlignment w:val="auto"/>
        <w:outlineLvl w:val="1"/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六、</w:t>
      </w:r>
      <w:r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理赔审核</w:t>
      </w:r>
    </w:p>
    <w:p w14:paraId="5316EAF1">
      <w:pPr>
        <w:pStyle w:val="4"/>
        <w:keepNext w:val="0"/>
        <w:keepLines w:val="0"/>
        <w:pageBreakBefore w:val="0"/>
        <w:widowControl w:val="0"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outlineLvl w:val="2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材料审核</w:t>
      </w:r>
    </w:p>
    <w:p w14:paraId="6C12153F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理赔人员对投保人/被保险人提交的理赔材料（如索赔申请书、身份证明、损失证明、银行账户信息等）进行审核，确保材料齐全、真实、有效。</w:t>
      </w:r>
    </w:p>
    <w:p w14:paraId="5ECFF3EE">
      <w:pPr>
        <w:pStyle w:val="4"/>
        <w:keepNext w:val="0"/>
        <w:keepLines w:val="0"/>
        <w:pageBreakBefore w:val="0"/>
        <w:widowControl w:val="0"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outlineLvl w:val="2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内部审核</w:t>
      </w:r>
    </w:p>
    <w:p w14:paraId="6E3D6022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保险机构应建立内部审核机制，由专门的审核人员对理赔案件进行审核，包括查勘定损结果、理算依据、赔偿金额等，确保理赔案件符合保险条款和相关规定。</w:t>
      </w:r>
    </w:p>
    <w:p w14:paraId="3BB645E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textAlignment w:val="auto"/>
        <w:outlineLvl w:val="1"/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七、</w:t>
      </w:r>
      <w:r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赔付支付</w:t>
      </w:r>
    </w:p>
    <w:p w14:paraId="7EE33265">
      <w:pPr>
        <w:pStyle w:val="4"/>
        <w:keepNext w:val="0"/>
        <w:keepLines w:val="0"/>
        <w:pageBreakBefore w:val="0"/>
        <w:widowControl w:val="0"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outlineLvl w:val="2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赔付通知</w:t>
      </w:r>
    </w:p>
    <w:p w14:paraId="2057D2A7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审核通过后，保险机构应及时向投保人/被保险人发出赔付通知，告知其赔偿金额和支付方式。</w:t>
      </w:r>
    </w:p>
    <w:p w14:paraId="4F24E572">
      <w:pPr>
        <w:pStyle w:val="4"/>
        <w:keepNext w:val="0"/>
        <w:keepLines w:val="0"/>
        <w:pageBreakBefore w:val="0"/>
        <w:widowControl w:val="0"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outlineLvl w:val="2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支付方式</w:t>
      </w:r>
    </w:p>
    <w:p w14:paraId="603BF7C9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保险机构应按照赔付通知书的约定，将赔偿款项直接支付到投保人/被保险人指定的银行账户，不得通过现金支付或其他变相方式支付。</w:t>
      </w:r>
    </w:p>
    <w:p w14:paraId="040B6461">
      <w:pPr>
        <w:pStyle w:val="4"/>
        <w:keepNext w:val="0"/>
        <w:keepLines w:val="0"/>
        <w:pageBreakBefore w:val="0"/>
        <w:widowControl w:val="0"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20" w:firstLineChars="0"/>
        <w:textAlignment w:val="auto"/>
        <w:outlineLvl w:val="2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支付时限</w:t>
      </w:r>
    </w:p>
    <w:p w14:paraId="38585F51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保险机构应在与投保人/被保险人达成赔偿协议后10日内支付赔偿款项。如因特殊情况无法按时支付的，应及时向投保人/被保险人说明原因，并协商确定支付时间。</w:t>
      </w:r>
    </w:p>
    <w:p w14:paraId="50A16197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textAlignment w:val="auto"/>
        <w:outlineLvl w:val="1"/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八、</w:t>
      </w:r>
      <w:r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档案管理</w:t>
      </w:r>
    </w:p>
    <w:p w14:paraId="178E0991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保险机构应建立健全理赔档案管理制度，将理赔过程中形成的所有材料（如索赔通知书、查勘报告、赔付确认书、银行支付凭证等）进行整理、归档，确保档案的完整性、真实性和可追溯性。档案保存期限应符合相关规定。</w:t>
      </w:r>
    </w:p>
    <w:p w14:paraId="115075F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textAlignment w:val="auto"/>
        <w:outlineLvl w:val="1"/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九、</w:t>
      </w:r>
      <w:r>
        <w:rPr>
          <w:rFonts w:hint="eastAsia" w:asci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争议处理</w:t>
      </w:r>
    </w:p>
    <w:p w14:paraId="7A45C1C3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在理赔过程中，如投保人/被保险人与保险机构发生争议，双方应首先通过协商解决；协商不成的，可依法申请仲裁或向人民法院提起诉讼。保险机构应建立争议处理机制，及时处理理赔争议，维护投保人/被保险人的合法权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18DC98"/>
    <w:multiLevelType w:val="singleLevel"/>
    <w:tmpl w:val="9B18DC9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9B701C2C"/>
    <w:multiLevelType w:val="singleLevel"/>
    <w:tmpl w:val="9B701C2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ABB885CF"/>
    <w:multiLevelType w:val="singleLevel"/>
    <w:tmpl w:val="ABB885C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AFC7A083"/>
    <w:multiLevelType w:val="singleLevel"/>
    <w:tmpl w:val="AFC7A083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>
    <w:nsid w:val="B1A0F314"/>
    <w:multiLevelType w:val="singleLevel"/>
    <w:tmpl w:val="B1A0F31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EB4C057D"/>
    <w:multiLevelType w:val="singleLevel"/>
    <w:tmpl w:val="EB4C057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>
    <w:nsid w:val="F8026A68"/>
    <w:multiLevelType w:val="singleLevel"/>
    <w:tmpl w:val="F8026A6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7">
    <w:nsid w:val="1BB4FEDC"/>
    <w:multiLevelType w:val="singleLevel"/>
    <w:tmpl w:val="1BB4FED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8">
    <w:nsid w:val="30B61B0C"/>
    <w:multiLevelType w:val="singleLevel"/>
    <w:tmpl w:val="30B61B0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9">
    <w:nsid w:val="4B5AB62F"/>
    <w:multiLevelType w:val="singleLevel"/>
    <w:tmpl w:val="4B5AB62F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0">
    <w:nsid w:val="5A160B55"/>
    <w:multiLevelType w:val="singleLevel"/>
    <w:tmpl w:val="5A160B5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5"/>
  </w:num>
  <w:num w:numId="7">
    <w:abstractNumId w:val="9"/>
  </w:num>
  <w:num w:numId="8">
    <w:abstractNumId w:val="2"/>
  </w:num>
  <w:num w:numId="9">
    <w:abstractNumId w:val="3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9618F4"/>
    <w:rsid w:val="163F4A7E"/>
    <w:rsid w:val="226139E4"/>
    <w:rsid w:val="24E011DB"/>
    <w:rsid w:val="25F87912"/>
    <w:rsid w:val="31330173"/>
    <w:rsid w:val="31A7683A"/>
    <w:rsid w:val="33286205"/>
    <w:rsid w:val="4338290F"/>
    <w:rsid w:val="492F003E"/>
    <w:rsid w:val="496A3F91"/>
    <w:rsid w:val="4B467B65"/>
    <w:rsid w:val="4DC40DEA"/>
    <w:rsid w:val="50781A07"/>
    <w:rsid w:val="53695182"/>
    <w:rsid w:val="537B459F"/>
    <w:rsid w:val="56121EBA"/>
    <w:rsid w:val="59A42962"/>
    <w:rsid w:val="5B625453"/>
    <w:rsid w:val="671A69F4"/>
    <w:rsid w:val="6AB9525A"/>
    <w:rsid w:val="6CFA4FF2"/>
    <w:rsid w:val="711868FC"/>
    <w:rsid w:val="717E21E3"/>
    <w:rsid w:val="736305DA"/>
    <w:rsid w:val="74CA10AF"/>
    <w:rsid w:val="7CE21DC8"/>
    <w:rsid w:val="7D017AAD"/>
    <w:rsid w:val="7D2A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2309</Words>
  <Characters>2312</Characters>
  <Lines>0</Lines>
  <Paragraphs>0</Paragraphs>
  <TotalTime>8</TotalTime>
  <ScaleCrop>false</ScaleCrop>
  <LinksUpToDate>false</LinksUpToDate>
  <CharactersWithSpaces>2315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2025-09-08T07:16:00Z</dcterms:created>
  <dc:creator>86183</dc:creator>
  <cp:lastModifiedBy>种花家的兔子</cp:lastModifiedBy>
  <dcterms:modified xsi:type="dcterms:W3CDTF">2025-11-27T02:35:11Z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eyJoZGlkIjoiM2E3OTg1ODUyN2JjYjQwYTQyZjFlOTM2NmM0YjUwZmYiLCJ1c2VySWQiOiIyMDg3MTkwNzcifQ==</vt:lpwstr>
  </property>
  <property fmtid="{D5CDD505-2E9C-101B-9397-08002B2CF9AE}" pid="4" name="ICV">
    <vt:lpwstr>EB152906A38445DC8B76313071383EE7</vt:lpwstr>
  </property>
</Properties>
</file>