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8A59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 w:bidi="ar-SA"/>
        </w:rPr>
        <w:t>附件2</w:t>
      </w:r>
    </w:p>
    <w:p w14:paraId="4A7A9FC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-SA"/>
        </w:rPr>
        <w:t>江西省学平险理赔服务指引</w:t>
      </w:r>
    </w:p>
    <w:p w14:paraId="15D63D5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-SA"/>
        </w:rPr>
        <w:t>（讨论稿）</w:t>
      </w:r>
    </w:p>
    <w:bookmarkEnd w:id="0"/>
    <w:p w14:paraId="1ECEDB0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sz w:val="44"/>
          <w:szCs w:val="44"/>
          <w:lang w:val="en-US" w:eastAsia="zh-CN" w:bidi="ar-SA"/>
        </w:rPr>
      </w:pPr>
    </w:p>
    <w:p w14:paraId="6A492144">
      <w:pPr>
        <w:pStyle w:val="18"/>
        <w:keepNext w:val="0"/>
        <w:keepLines w:val="0"/>
        <w:pageBreakBefore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shd w:val="clear" w:fill="auto"/>
          <w:lang w:val="en-US" w:eastAsia="zh-CN" w:bidi="ar-SA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总则</w:t>
      </w:r>
    </w:p>
    <w:p w14:paraId="2B4F618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第一条 为明确江西省学平险理赔行业服务范围，规范理赔操作流程、材料收取规范、审核口径、赔付时效、纠纷认定规则，明确续保、转保、更换承保机构、跨保单周期治疗等疑难场景理赔权责，杜绝机构尺度不一、随意增设门槛、拖延赔付、推诿扯皮等问题，全面提升学平险理赔服务规范性、一致性、便民性，保护保险消费者合法权益，特制定本指引。</w:t>
      </w:r>
    </w:p>
    <w:p w14:paraId="4FB3478C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第二条 本指引适用于江西省所有经营学平险业务的保险法人机构、省级分公司及下辖各级经营机构，为全省学平险理赔统一行业服务规范，机构内部制度与本指引不一致的，应以本指引为准。</w:t>
      </w:r>
    </w:p>
    <w:p w14:paraId="468181E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第三条 各机构在提供学平险理赔服务中应做到：</w:t>
      </w:r>
    </w:p>
    <w:p w14:paraId="780EF7D6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（一）统一标准、同质服务。全省执行统一材料清单、统一流程、统一时效、统一责任认定，杜绝“一司一标准、一案一尺度”。</w:t>
      </w:r>
    </w:p>
    <w:p w14:paraId="4F980CF1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（二）依法合规、契约从严。严格依据保险条款、监管规定核定保险责任，不得随意扩责、缩责、免责。</w:t>
      </w:r>
    </w:p>
    <w:p w14:paraId="5E405923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（三）便民利民、精简高效。最大程度精简理赔材料，压缩办理时限，推行小额快赔、容缺受理、一次性告知。</w:t>
      </w:r>
    </w:p>
    <w:p w14:paraId="6C7198D7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（四）权责清晰、闭环管理。明确跨年度、换机构、持续性治疗理赔归属，杜绝推诿拒赔、责任悬空。</w:t>
      </w:r>
    </w:p>
    <w:p w14:paraId="7333BB4E">
      <w:pPr>
        <w:pStyle w:val="18"/>
        <w:keepNext w:val="0"/>
        <w:keepLines w:val="0"/>
        <w:pageBreakBefore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shd w:val="clear" w:fill="auto"/>
          <w:lang w:val="en-US" w:eastAsia="zh-CN" w:bidi="ar-SA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学平险理赔申请材料行业标准</w:t>
      </w:r>
    </w:p>
    <w:p w14:paraId="31ED2370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第四条 全行业实行标准化固定材料清单，严禁擅自增设非必要材料、重复索要材料、变相设置理赔门槛。</w:t>
      </w:r>
    </w:p>
    <w:p w14:paraId="2A49BA1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（一）通用基础材料</w:t>
      </w:r>
    </w:p>
    <w:p w14:paraId="0B933232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1.被保险人学生身份证明（身份证或户口本复印件）；</w:t>
      </w:r>
    </w:p>
    <w:p w14:paraId="2C07A55C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2.法定监护人身份证明、有效收款账户信息；</w:t>
      </w:r>
    </w:p>
    <w:p w14:paraId="75CFC724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3.有效学平险投保凭证或电子保单；</w:t>
      </w:r>
    </w:p>
    <w:p w14:paraId="4BF53AE7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4.监护人签署的理赔申请书。</w:t>
      </w:r>
    </w:p>
    <w:p w14:paraId="170817D1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（二）意外门诊案件标准材料</w:t>
      </w:r>
    </w:p>
    <w:p w14:paraId="27ACC1F4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1.门诊病历、正规医疗发票、费用明细清单；</w:t>
      </w:r>
    </w:p>
    <w:p w14:paraId="57324152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2.相关检查、化验、影像报告；</w:t>
      </w:r>
    </w:p>
    <w:p w14:paraId="06311EDB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3.事故经过说明（不得强制要求学校出具正式证明，消费者自述说明即可）。</w:t>
      </w:r>
    </w:p>
    <w:p w14:paraId="425D20B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（三）意外/疾病住院案件标准材料</w:t>
      </w:r>
    </w:p>
    <w:p w14:paraId="68904253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1.入院记录、出院小结、疾病诊断证明；</w:t>
      </w:r>
    </w:p>
    <w:p w14:paraId="2BAC3465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2.住院费用发票、总费用明细清单；</w:t>
      </w:r>
    </w:p>
    <w:p w14:paraId="43982383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3.已医保结算的，须提供医保结算单、费用分割单。</w:t>
      </w:r>
    </w:p>
    <w:p w14:paraId="416404A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（四）重疾、伤残、身故特殊案件材料</w:t>
      </w:r>
    </w:p>
    <w:p w14:paraId="34B95A3F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严格按照条款及监管要求收取确诊报告、病理报告、司法鉴定意见书、死亡证明等法定材料，不得增设额外鉴定、证明要求。</w:t>
      </w:r>
    </w:p>
    <w:p w14:paraId="7009690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（五）行业统一精简要求</w:t>
      </w:r>
    </w:p>
    <w:p w14:paraId="7CC8A4E0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1.全面取消就读证明、关系证明、无责证明等冗余材料；</w:t>
      </w:r>
    </w:p>
    <w:p w14:paraId="3AA01378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2.推行影像件先行审核、纸质材料容缺后补；</w:t>
      </w:r>
    </w:p>
    <w:p w14:paraId="3CAC24D4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3.实行一次性告知制度，同一案件不得多次、分批要求补充材料。</w:t>
      </w:r>
    </w:p>
    <w:p w14:paraId="67946C7F">
      <w:pPr>
        <w:pStyle w:val="18"/>
        <w:keepNext w:val="0"/>
        <w:keepLines w:val="0"/>
        <w:pageBreakBefore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三、学平险标准化理赔流程</w:t>
      </w:r>
    </w:p>
    <w:p w14:paraId="7D89D79F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第五条 各机构须全面统一对外理赔流程，公开公示、全员执行，流程不得简化、变相变通。</w:t>
      </w:r>
    </w:p>
    <w:p w14:paraId="4F4C3F3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（一）报案受理</w:t>
      </w:r>
    </w:p>
    <w:p w14:paraId="7780F2E8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畅通线上、线下、客服、校园对接多渠道报案，1个工作日内完成登记、回访、风险告知、就医指引。</w:t>
      </w:r>
    </w:p>
    <w:p w14:paraId="5C62E58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（二）就医规范指引</w:t>
      </w:r>
    </w:p>
    <w:p w14:paraId="4A0FE9C7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保险机构认可的医疗机构，应在保险合同中明确约定，如对私立医院、疗养院、康复机构、美容矫正机构等不予赔付，做好前置告知。</w:t>
      </w:r>
    </w:p>
    <w:p w14:paraId="7503BB0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（三）材料收取与核验</w:t>
      </w:r>
    </w:p>
    <w:p w14:paraId="63B7042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严格按照统一清单核验资料，资料不齐一次性出具补正清单，明确补正内容、补正渠道。</w:t>
      </w:r>
    </w:p>
    <w:p w14:paraId="4721A06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（四）分级审核处理</w:t>
      </w:r>
    </w:p>
    <w:p w14:paraId="2B95A5AB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区分小额门诊、普通住院、大额复杂案件分级审核，统一审核要点、责任认定、免责口径。</w:t>
      </w:r>
    </w:p>
    <w:p w14:paraId="4585B9A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（五）赔款精准核算</w:t>
      </w:r>
    </w:p>
    <w:p w14:paraId="7BB585F9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严格按照条款约定免赔额、报销比例、社保内外范围核算，不得随意下调赔付标准、变相扣减合理赔款。</w:t>
      </w:r>
    </w:p>
    <w:p w14:paraId="551FFA9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（六）结果告知及支付</w:t>
      </w:r>
    </w:p>
    <w:p w14:paraId="5556CB49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案件办结后及时支付赔款，同步向消费者推送理赔结果、赔付明细；拒赔案件必须书面载明事实依据、条款依据、救济途径。</w:t>
      </w:r>
    </w:p>
    <w:p w14:paraId="176B107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四、行业理赔服务时效</w:t>
      </w:r>
    </w:p>
    <w:p w14:paraId="34FE7BF0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第六条 所有机构必须严格执行以下统一时效标准，纳入行业服务评价及合规考核：</w:t>
      </w:r>
    </w:p>
    <w:p w14:paraId="62B1A982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（一）报案响应时效：接报后1个工作日内完成回访及指引。</w:t>
      </w:r>
    </w:p>
    <w:p w14:paraId="4C225E0F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（二）材料受理时效：材料齐全当日完成系统正式受理。</w:t>
      </w:r>
    </w:p>
    <w:p w14:paraId="2A431D2A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（三）小额门诊案件：5个工作日内审核赔付完毕。</w:t>
      </w:r>
    </w:p>
    <w:p w14:paraId="11012C7E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（四）普通住院案件：10个工作日内审核赔付完毕。</w:t>
      </w:r>
    </w:p>
    <w:p w14:paraId="2BB5AD0A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（五）大额、重疾、伤残、疑难复杂案件：最长30个工作日内办结。</w:t>
      </w:r>
    </w:p>
    <w:p w14:paraId="1B85C466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（六）拒赔答复时效：核定之日起3个工作日内出具正式拒赔说明。</w:t>
      </w:r>
    </w:p>
    <w:p w14:paraId="69DD427F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（七）消费者异议复核时效：收到异议后5个工作日内完成复核反馈。</w:t>
      </w:r>
    </w:p>
    <w:p w14:paraId="34E4D2F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五、理赔权责划分</w:t>
      </w:r>
    </w:p>
    <w:p w14:paraId="048D23E4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第七条 为彻底解决行业最大争议痛点，全行业统一责任归属判定标准，不得自行解释、另行认定。</w:t>
      </w:r>
    </w:p>
    <w:p w14:paraId="65B36F7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第八条 理赔责任归属唯一依据：出险事故发生时间，对应当期有效承保保单。不因后续续保、换公司、转学、升级、年度更替变更原有理赔责任。</w:t>
      </w:r>
    </w:p>
    <w:p w14:paraId="6F099996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第九条 学年内更换承保机构的，事故发生于原保险公司保单有效期内，由原承保公司承担全部理赔责任，新承保公司不予承接；事故发生于新保险公司保单生效后，由当期承保公司承担责任。</w:t>
      </w:r>
    </w:p>
    <w:p w14:paraId="70052BF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第十条 跨保单周期持续性治疗、二次手术、康复治疗等情况，若初次出险、初次确诊、初次手术发生在旧保单期：后续一切延续治疗、拆钢板、复查、康复、二次手术费用，均由出险当期承保机构负责理赔。不得以“已换保险公司、已换新保单”为由拒赔、推诿。</w:t>
      </w:r>
    </w:p>
    <w:p w14:paraId="6C9AE1D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第十一条 新旧保单未无缝衔接、存在脱保空档期的，空档期内出险费用机构可不予赔付，机构需提前做好续保提醒告知。</w:t>
      </w:r>
    </w:p>
    <w:p w14:paraId="3AD1266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第十二条 学生转学、异地就读，保单未变更承保主体的，承保机构不得拒办异地理赔，须正常受理赔付。</w:t>
      </w:r>
    </w:p>
    <w:p w14:paraId="0EC2938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六、行业理赔争议与责任认定标准</w:t>
      </w:r>
    </w:p>
    <w:p w14:paraId="674045EA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第十三条 全行业统一裁判口径，杜绝同案不同赔：</w:t>
      </w:r>
    </w:p>
    <w:p w14:paraId="2DD706FA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（一）既往症统一免责：保单生效前已患有且已知晓的有关疾病，统一不予赔付。</w:t>
      </w:r>
    </w:p>
    <w:p w14:paraId="15461674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（二）意外责任统一认定：遭受外来的、突发的、非疾病的客观时间导致身体收到的伤害属于意外责任；打架斗殴、自伤自残、违法违规行为统一免责。</w:t>
      </w:r>
    </w:p>
    <w:p w14:paraId="1532FCF6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（三）费用赔付统一边界：合理的、符合通常惯例且医疗必需的医疗费用按约定赔付。</w:t>
      </w:r>
    </w:p>
    <w:p w14:paraId="18647FFA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（四）多单叠加理赔规则：遵循损失补偿原则，多份保单累计赔付不超过实际合理支出，严禁超额赔付，各机构按规则分摊结算。</w:t>
      </w:r>
    </w:p>
    <w:p w14:paraId="4D2F7DB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七、行业自律管理要求</w:t>
      </w:r>
    </w:p>
    <w:p w14:paraId="3C222F19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第十四条 全面对标整改。各机构自本指引下发之日起30日内，完成内部理赔制度、流程、材料、时效全面整改，实现与行业标准完全统一。</w:t>
      </w:r>
    </w:p>
    <w:p w14:paraId="1D94900A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第十五条 规范竞争秩序。严禁通过随意放宽理赔尺度、违规扩责、变相返费开展不正当校园竞争。</w:t>
      </w:r>
    </w:p>
    <w:p w14:paraId="42BD4725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第十六条 强化前端告知。投保环节、保单签收环节必须主动公示理赔材料、流程、时效、免责范围、维权渠道。</w:t>
      </w:r>
    </w:p>
    <w:p w14:paraId="6E03E463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第十七条 协会将不定期开展学平险理赔专项抽查、投诉溯源，对标准执行不到位、拖延理赔、无理拒赔、推诿转保案件的机构，采取约谈、通报、报送监管等措施。</w:t>
      </w:r>
    </w:p>
    <w:p w14:paraId="7114A6E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八、附则</w:t>
      </w:r>
    </w:p>
    <w:p w14:paraId="586071E8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第十八条 本指引为全省学平险统一服务指引。</w:t>
      </w:r>
    </w:p>
    <w:p w14:paraId="203D2145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第十九条 本指引自印发之日起正式施行，若遇监管要求有所改变，则以新监管要求为准。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0537C28"/>
    <w:rsid w:val="02203B3A"/>
    <w:rsid w:val="04AB3B8E"/>
    <w:rsid w:val="065B3BFA"/>
    <w:rsid w:val="069B7C33"/>
    <w:rsid w:val="06DD024B"/>
    <w:rsid w:val="06FE6B3F"/>
    <w:rsid w:val="08183C31"/>
    <w:rsid w:val="08EC29C7"/>
    <w:rsid w:val="0A200089"/>
    <w:rsid w:val="0A9D2F26"/>
    <w:rsid w:val="0C590374"/>
    <w:rsid w:val="12865C3B"/>
    <w:rsid w:val="12940358"/>
    <w:rsid w:val="139F0BAE"/>
    <w:rsid w:val="16F5513D"/>
    <w:rsid w:val="174662BC"/>
    <w:rsid w:val="17B86896"/>
    <w:rsid w:val="1E766B63"/>
    <w:rsid w:val="20E22BD6"/>
    <w:rsid w:val="250824DF"/>
    <w:rsid w:val="25AC7FE2"/>
    <w:rsid w:val="2BBD2276"/>
    <w:rsid w:val="327F2033"/>
    <w:rsid w:val="32E0684A"/>
    <w:rsid w:val="36A007CA"/>
    <w:rsid w:val="3B750477"/>
    <w:rsid w:val="3E4C7D71"/>
    <w:rsid w:val="41586871"/>
    <w:rsid w:val="422E312E"/>
    <w:rsid w:val="44305883"/>
    <w:rsid w:val="4A62250E"/>
    <w:rsid w:val="4FBF3F5F"/>
    <w:rsid w:val="543A1E06"/>
    <w:rsid w:val="557878A5"/>
    <w:rsid w:val="56C634EA"/>
    <w:rsid w:val="57A35F14"/>
    <w:rsid w:val="5C877BB2"/>
    <w:rsid w:val="617C1CB0"/>
    <w:rsid w:val="681349F0"/>
    <w:rsid w:val="68914293"/>
    <w:rsid w:val="6B113469"/>
    <w:rsid w:val="6BEC7A32"/>
    <w:rsid w:val="6E070B53"/>
    <w:rsid w:val="6FF173C5"/>
    <w:rsid w:val="774424D0"/>
    <w:rsid w:val="794A5D98"/>
    <w:rsid w:val="799A287B"/>
    <w:rsid w:val="7D891584"/>
    <w:rsid w:val="7F855D7C"/>
    <w:rsid w:val="7FFC43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  <w:style w:type="paragraph" w:customStyle="1" w:styleId="18">
    <w:name w:val="Normal_271cf7f2-92d6-4fb7-81ab-f59e1e20d88e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2506</Words>
  <Characters>2522</Characters>
  <TotalTime>810</TotalTime>
  <ScaleCrop>false</ScaleCrop>
  <LinksUpToDate>false</LinksUpToDate>
  <CharactersWithSpaces>2564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2026-05-18T01:28:00Z</dcterms:created>
  <dc:creator>Un-named</dc:creator>
  <cp:lastModifiedBy>和政政在一起的每一天</cp:lastModifiedBy>
  <cp:lastPrinted>2026-06-05T02:21:00Z</cp:lastPrinted>
  <dcterms:modified xsi:type="dcterms:W3CDTF">2026-06-05T03:24:53Z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eyJoZGlkIjoiOTY4MGExYTFkYzMxZWFmZWJlMTVhMjRmM2Q1MmQ3ZDIiLCJ1c2VySWQiOiI5MjM4NjE4MDAifQ==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740474E76AD7441580602301519B933E_13</vt:lpwstr>
  </property>
</Properties>
</file>